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3C" w:rsidRDefault="0090013C" w:rsidP="0090013C">
      <w:pPr>
        <w:tabs>
          <w:tab w:val="left" w:pos="567"/>
          <w:tab w:val="left" w:pos="851"/>
          <w:tab w:val="left" w:pos="2268"/>
          <w:tab w:val="left" w:pos="2552"/>
          <w:tab w:val="left" w:pos="3969"/>
          <w:tab w:val="left" w:pos="4253"/>
          <w:tab w:val="left" w:pos="5670"/>
          <w:tab w:val="left" w:pos="5954"/>
          <w:tab w:val="left" w:pos="7371"/>
          <w:tab w:val="left" w:pos="7655"/>
        </w:tabs>
        <w:rPr>
          <w:b/>
          <w:i/>
          <w:sz w:val="28"/>
        </w:rPr>
      </w:pPr>
      <w:r>
        <w:rPr>
          <w:b/>
          <w:i/>
          <w:sz w:val="28"/>
        </w:rPr>
        <w:t>Compréhension des écrits (vrai ou faux)</w:t>
      </w:r>
    </w:p>
    <w:p w:rsidR="0090013C" w:rsidRDefault="0090013C" w:rsidP="0090013C">
      <w:pPr>
        <w:jc w:val="both"/>
      </w:pPr>
    </w:p>
    <w:p w:rsidR="0090013C" w:rsidRDefault="0090013C" w:rsidP="0090013C">
      <w:pPr>
        <w:jc w:val="both"/>
      </w:pPr>
    </w:p>
    <w:p w:rsidR="0090013C" w:rsidRDefault="0090013C" w:rsidP="0090013C">
      <w:pPr>
        <w:jc w:val="right"/>
        <w:rPr>
          <w:rFonts w:ascii="Amanda" w:hAnsi="Amanda"/>
          <w:sz w:val="36"/>
          <w:szCs w:val="22"/>
        </w:rPr>
      </w:pPr>
      <w:r>
        <w:rPr>
          <w:rFonts w:ascii="Amanda" w:hAnsi="Amanda"/>
          <w:sz w:val="36"/>
          <w:szCs w:val="22"/>
        </w:rPr>
        <w:t>Tradition</w:t>
      </w:r>
    </w:p>
    <w:p w:rsidR="0090013C" w:rsidRDefault="0090013C" w:rsidP="0090013C">
      <w:pPr>
        <w:jc w:val="right"/>
        <w:rPr>
          <w:rFonts w:ascii="Amanda" w:hAnsi="Amanda"/>
          <w:sz w:val="28"/>
          <w:szCs w:val="22"/>
        </w:rPr>
      </w:pPr>
    </w:p>
    <w:p w:rsidR="0090013C" w:rsidRDefault="0090013C" w:rsidP="0090013C">
      <w:pPr>
        <w:spacing w:line="700" w:lineRule="exact"/>
        <w:rPr>
          <w:rFonts w:ascii="Andale Sans" w:hAnsi="Andale Sans"/>
          <w:b/>
          <w:sz w:val="70"/>
          <w:szCs w:val="22"/>
        </w:rPr>
      </w:pPr>
      <w:r>
        <w:rPr>
          <w:rFonts w:ascii="Andale Sans" w:hAnsi="Andale Sans"/>
          <w:b/>
          <w:sz w:val="70"/>
          <w:szCs w:val="22"/>
        </w:rPr>
        <w:t>Pourquoi lance-t-on des confettis lors d’un carnaval</w:t>
      </w:r>
      <w:r>
        <w:rPr>
          <w:rFonts w:ascii="Andale Sans" w:hAnsi="Myriad Web"/>
          <w:b/>
          <w:sz w:val="70"/>
          <w:szCs w:val="22"/>
        </w:rPr>
        <w:t> </w:t>
      </w:r>
      <w:r>
        <w:rPr>
          <w:rFonts w:ascii="Andale Sans" w:hAnsi="Andale Sans"/>
          <w:b/>
          <w:sz w:val="70"/>
          <w:szCs w:val="22"/>
        </w:rPr>
        <w:t>?</w:t>
      </w:r>
    </w:p>
    <w:p w:rsidR="0090013C" w:rsidRDefault="0090013C" w:rsidP="0090013C">
      <w:pPr>
        <w:rPr>
          <w:rFonts w:ascii="Myriad Web" w:hAnsi="Myriad Web"/>
          <w:sz w:val="22"/>
          <w:szCs w:val="22"/>
        </w:rPr>
      </w:pPr>
    </w:p>
    <w:p w:rsidR="0090013C" w:rsidRDefault="0090013C" w:rsidP="0090013C">
      <w:pPr>
        <w:rPr>
          <w:rFonts w:ascii="Myriad Web" w:hAnsi="Myriad Web"/>
          <w:sz w:val="26"/>
          <w:szCs w:val="22"/>
        </w:rPr>
      </w:pPr>
      <w:r>
        <w:rPr>
          <w:rFonts w:ascii="Myriad Web" w:hAnsi="Myriad Web"/>
          <w:sz w:val="26"/>
          <w:szCs w:val="22"/>
        </w:rPr>
        <w:t>D’intenses réjouissances collectives se développent en Europe au XII siècle.  Notamment* entre l’Épiphanie et le carême.  On parle d’ailleurs de carême prenant pour qualifier les trois derniers jours de ce carnaval qui précède l’austère période de privations qui s’annonce.</w:t>
      </w:r>
    </w:p>
    <w:p w:rsidR="0090013C" w:rsidRDefault="0090013C" w:rsidP="0090013C">
      <w:pPr>
        <w:rPr>
          <w:rFonts w:ascii="Myriad Web" w:hAnsi="Myriad Web"/>
          <w:sz w:val="20"/>
          <w:szCs w:val="22"/>
        </w:rPr>
      </w:pPr>
    </w:p>
    <w:p w:rsidR="0090013C" w:rsidRDefault="0090013C" w:rsidP="0090013C">
      <w:pPr>
        <w:rPr>
          <w:rFonts w:ascii="Bookman Old Style" w:hAnsi="Bookman Old Style"/>
          <w:sz w:val="22"/>
          <w:szCs w:val="22"/>
        </w:rPr>
      </w:pPr>
    </w:p>
    <w:p w:rsidR="0090013C" w:rsidRDefault="0090013C" w:rsidP="0090013C">
      <w:pPr>
        <w:rPr>
          <w:rFonts w:ascii="Bookman Old Style" w:hAnsi="Bookman Old Style"/>
          <w:sz w:val="22"/>
          <w:szCs w:val="22"/>
        </w:rPr>
        <w:sectPr w:rsidR="0090013C">
          <w:pgSz w:w="11907" w:h="16840"/>
          <w:pgMar w:top="1134" w:right="851" w:bottom="851" w:left="1134" w:header="680" w:footer="851" w:gutter="0"/>
          <w:cols w:space="720"/>
        </w:sectPr>
      </w:pPr>
    </w:p>
    <w:p w:rsidR="0090013C" w:rsidRDefault="0090013C" w:rsidP="0090013C">
      <w:pPr>
        <w:keepNext/>
        <w:framePr w:dropCap="drop" w:lines="3" w:w="700" w:wrap="around" w:vAnchor="text" w:hAnchor="text"/>
        <w:spacing w:line="743" w:lineRule="exact"/>
        <w:textAlignment w:val="baseline"/>
        <w:rPr>
          <w:rFonts w:ascii="Arial" w:hAnsi="Arial" w:cs="Arial"/>
          <w:b/>
          <w:position w:val="-10"/>
          <w:sz w:val="91"/>
          <w:szCs w:val="22"/>
        </w:rPr>
      </w:pPr>
      <w:r>
        <w:rPr>
          <w:rFonts w:ascii="Arial" w:hAnsi="Arial" w:cs="Arial"/>
          <w:b/>
          <w:position w:val="-10"/>
          <w:sz w:val="91"/>
          <w:szCs w:val="22"/>
        </w:rPr>
        <w:t>A</w:t>
      </w:r>
    </w:p>
    <w:p w:rsidR="0090013C" w:rsidRDefault="0090013C" w:rsidP="0090013C">
      <w:pPr>
        <w:rPr>
          <w:rFonts w:ascii="Bookman Old Style" w:hAnsi="Bookman Old Style"/>
          <w:sz w:val="22"/>
          <w:szCs w:val="22"/>
        </w:rPr>
      </w:pPr>
      <w:r>
        <w:rPr>
          <w:rFonts w:ascii="Bookman Old Style" w:hAnsi="Bookman Old Style"/>
          <w:sz w:val="22"/>
          <w:szCs w:val="22"/>
        </w:rPr>
        <w:t>u fil du temps, le mardi gras restera l’unique et dernière journée propice* aux distractions.  Avec la Renaissance viendront les bals et ballets d’inspiration vénitienne et les premiers défilés de chars décorés.  Enfin, dans la seconde moitié du XIX siècle, toutes les grandes villes d’Europe possèdent leur corso fleuri (défilé de chars décorés).</w:t>
      </w:r>
    </w:p>
    <w:p w:rsidR="0090013C" w:rsidRDefault="0090013C" w:rsidP="0090013C">
      <w:pPr>
        <w:rPr>
          <w:rFonts w:ascii="Bookman Old Style" w:hAnsi="Bookman Old Style"/>
          <w:sz w:val="22"/>
          <w:szCs w:val="22"/>
        </w:rPr>
      </w:pPr>
    </w:p>
    <w:p w:rsidR="0090013C" w:rsidRDefault="0090013C" w:rsidP="0090013C">
      <w:pPr>
        <w:rPr>
          <w:rFonts w:ascii="Bookman Old Style" w:hAnsi="Bookman Old Style"/>
          <w:sz w:val="22"/>
          <w:szCs w:val="22"/>
        </w:rPr>
      </w:pPr>
      <w:r>
        <w:rPr>
          <w:rFonts w:ascii="Bookman Old Style" w:hAnsi="Bookman Old Style"/>
          <w:sz w:val="22"/>
          <w:szCs w:val="22"/>
        </w:rPr>
        <w:t xml:space="preserve">Mais le carnaval, au sens où nous l’entendons désormais, prend simultanément naissance en trois endroits :  Viareggio (Italie), Rio de Janeiro (Brésil) et Nice.  En fait, la première grande fête officielle avec défilé carnavalesque et corso se déroule en 1822, époque à laquelle le roi de Sardaigne, Victor-Emmanuel I (1759-1824) séjourne à Nice.  À cette occasion, les chroniqueurs mentionnent des batailles de fleurs et de bonbons.  Et notamment de dragées, traduction française de confetti (sans s), pluriel du mot italien </w:t>
      </w:r>
      <w:proofErr w:type="spellStart"/>
      <w:r>
        <w:rPr>
          <w:rFonts w:ascii="Bookman Old Style" w:hAnsi="Bookman Old Style"/>
          <w:sz w:val="22"/>
          <w:szCs w:val="22"/>
        </w:rPr>
        <w:t>confetto</w:t>
      </w:r>
      <w:proofErr w:type="spellEnd"/>
      <w:r>
        <w:rPr>
          <w:rFonts w:ascii="Bookman Old Style" w:hAnsi="Bookman Old Style"/>
          <w:sz w:val="22"/>
          <w:szCs w:val="22"/>
        </w:rPr>
        <w:t>.</w:t>
      </w:r>
    </w:p>
    <w:p w:rsidR="0090013C" w:rsidRDefault="0090013C" w:rsidP="0090013C">
      <w:pPr>
        <w:rPr>
          <w:rFonts w:ascii="Bookman Old Style" w:hAnsi="Bookman Old Style"/>
          <w:sz w:val="22"/>
          <w:szCs w:val="22"/>
        </w:rPr>
      </w:pPr>
    </w:p>
    <w:p w:rsidR="0090013C" w:rsidRDefault="0090013C" w:rsidP="0090013C">
      <w:pPr>
        <w:rPr>
          <w:rFonts w:ascii="Bookman Old Style" w:hAnsi="Bookman Old Style"/>
          <w:sz w:val="22"/>
          <w:szCs w:val="22"/>
        </w:rPr>
      </w:pPr>
      <w:r>
        <w:rPr>
          <w:rFonts w:ascii="Bookman Old Style" w:hAnsi="Bookman Old Style"/>
          <w:sz w:val="22"/>
          <w:szCs w:val="22"/>
        </w:rPr>
        <w:t xml:space="preserve">Dès lors, sous le terme général « confetti », les festivaliers en goguette* continueront de se lancer des brassées de bonbons, sucreries, dragées, farine, pois chiches ou haricots secs.  D’aucuns en viennent même à jeter des petites boulettes de plâtre ou de terre blanchie à la chaux.  Mais malgré la bonne humeur ambiante qui prévaut en de telles circonstances festives, ces jets intempestifs* ne sont pas du goût de tous et provoquent ici ou là des dégâts matériels, de petits traumatismes et même de sourdes douleurs.  Nombre de fêtards se </w:t>
      </w:r>
      <w:r>
        <w:rPr>
          <w:rFonts w:ascii="Bookman Old Style" w:hAnsi="Bookman Old Style"/>
          <w:sz w:val="22"/>
          <w:szCs w:val="22"/>
        </w:rPr>
        <w:lastRenderedPageBreak/>
        <w:t>protégeaient d’ailleurs derrière un masque d’escrime peinturluré !</w:t>
      </w:r>
    </w:p>
    <w:p w:rsidR="0090013C" w:rsidRDefault="0090013C" w:rsidP="0090013C">
      <w:pPr>
        <w:rPr>
          <w:rFonts w:ascii="Bookman Old Style" w:hAnsi="Bookman Old Style"/>
          <w:sz w:val="22"/>
          <w:szCs w:val="22"/>
        </w:rPr>
      </w:pPr>
    </w:p>
    <w:p w:rsidR="0090013C" w:rsidRDefault="0090013C" w:rsidP="0090013C">
      <w:pPr>
        <w:rPr>
          <w:rFonts w:ascii="Bookman Old Style" w:hAnsi="Bookman Old Style"/>
          <w:sz w:val="22"/>
          <w:szCs w:val="22"/>
        </w:rPr>
      </w:pPr>
      <w:r>
        <w:rPr>
          <w:rFonts w:ascii="Bookman Old Style" w:hAnsi="Bookman Old Style"/>
          <w:sz w:val="22"/>
          <w:szCs w:val="22"/>
        </w:rPr>
        <w:t>En 1892, pour éviter que ces mascarades bigarrées* ne dégénèrent en batailles rangées de projectiles divers et variés, un ingénieur de Modène en Italie a l’idée de confectionner de petits ronds de papier colorés en utilisant des cartons usagés.</w:t>
      </w:r>
    </w:p>
    <w:p w:rsidR="0090013C" w:rsidRDefault="0090013C" w:rsidP="0090013C">
      <w:pPr>
        <w:rPr>
          <w:rFonts w:ascii="Bookman Old Style" w:hAnsi="Bookman Old Style"/>
          <w:sz w:val="22"/>
          <w:szCs w:val="22"/>
        </w:rPr>
      </w:pPr>
    </w:p>
    <w:p w:rsidR="0090013C" w:rsidRDefault="0090013C" w:rsidP="0090013C">
      <w:pPr>
        <w:rPr>
          <w:rFonts w:ascii="Bookman Old Style" w:hAnsi="Bookman Old Style"/>
          <w:sz w:val="22"/>
          <w:szCs w:val="22"/>
        </w:rPr>
      </w:pPr>
      <w:r>
        <w:rPr>
          <w:rFonts w:ascii="Bookman Old Style" w:hAnsi="Bookman Old Style"/>
          <w:sz w:val="22"/>
          <w:szCs w:val="22"/>
        </w:rPr>
        <w:t>Son invention prend alors le nom de confettis.  Et la première pluie de ces inoffensifs confettis est lancée la même année au Casino de Paris.  Les confettis en papier (ce qui prend aujourd’hui l’allure d’un pléonasme) se sont ensuite imposés dans tous les carnavals, de la France au Brésil.</w:t>
      </w:r>
    </w:p>
    <w:p w:rsidR="0090013C" w:rsidRDefault="0090013C" w:rsidP="0090013C">
      <w:pPr>
        <w:rPr>
          <w:rFonts w:ascii="Bookman Old Style" w:hAnsi="Bookman Old Style"/>
          <w:sz w:val="22"/>
          <w:szCs w:val="22"/>
        </w:rPr>
      </w:pPr>
    </w:p>
    <w:p w:rsidR="0090013C" w:rsidRDefault="0090013C" w:rsidP="0090013C">
      <w:pPr>
        <w:rPr>
          <w:rFonts w:ascii="Bookman Old Style" w:hAnsi="Bookman Old Style"/>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 w:val="22"/>
          <w:szCs w:val="22"/>
        </w:rPr>
      </w:pPr>
    </w:p>
    <w:p w:rsidR="0090013C" w:rsidRDefault="0090013C" w:rsidP="0090013C">
      <w:pPr>
        <w:rPr>
          <w:rFonts w:ascii="Myriad Web" w:hAnsi="Myriad Web"/>
          <w:szCs w:val="22"/>
        </w:rPr>
      </w:pPr>
      <w:r>
        <w:rPr>
          <w:rFonts w:ascii="Myriad Web" w:hAnsi="Myriad Web"/>
          <w:sz w:val="32"/>
          <w:szCs w:val="22"/>
        </w:rPr>
        <w:sym w:font="Wingdings" w:char="F06E"/>
      </w:r>
      <w:r>
        <w:rPr>
          <w:rFonts w:ascii="Arial Narrow" w:hAnsi="Arial Narrow"/>
          <w:sz w:val="22"/>
          <w:szCs w:val="22"/>
        </w:rPr>
        <w:t xml:space="preserve"> </w:t>
      </w:r>
      <w:r>
        <w:rPr>
          <w:rFonts w:ascii="Arial Narrow" w:hAnsi="Arial Narrow"/>
          <w:b/>
          <w:szCs w:val="22"/>
        </w:rPr>
        <w:t>Vocabulaire</w:t>
      </w:r>
    </w:p>
    <w:p w:rsidR="0090013C" w:rsidRDefault="0090013C" w:rsidP="0090013C">
      <w:pPr>
        <w:rPr>
          <w:rFonts w:ascii="Arial Narrow" w:hAnsi="Arial Narrow"/>
          <w:szCs w:val="22"/>
        </w:rPr>
      </w:pPr>
      <w:r>
        <w:rPr>
          <w:rFonts w:ascii="Arial Narrow" w:hAnsi="Arial Narrow"/>
          <w:b/>
          <w:szCs w:val="22"/>
        </w:rPr>
        <w:t>bigarrées :</w:t>
      </w:r>
      <w:r>
        <w:rPr>
          <w:rFonts w:ascii="Arial Narrow" w:hAnsi="Arial Narrow"/>
          <w:szCs w:val="22"/>
        </w:rPr>
        <w:t xml:space="preserve">  multicolores.</w:t>
      </w:r>
    </w:p>
    <w:p w:rsidR="0090013C" w:rsidRDefault="0090013C" w:rsidP="0090013C">
      <w:pPr>
        <w:rPr>
          <w:rFonts w:ascii="Arial Narrow" w:hAnsi="Arial Narrow"/>
          <w:szCs w:val="22"/>
        </w:rPr>
      </w:pPr>
      <w:r>
        <w:rPr>
          <w:rFonts w:ascii="Arial Narrow" w:hAnsi="Arial Narrow"/>
          <w:b/>
          <w:szCs w:val="22"/>
        </w:rPr>
        <w:t>en goguette :</w:t>
      </w:r>
      <w:r>
        <w:rPr>
          <w:rFonts w:ascii="Arial Narrow" w:hAnsi="Arial Narrow"/>
          <w:szCs w:val="22"/>
        </w:rPr>
        <w:t xml:space="preserve">  en train de faire la fête.</w:t>
      </w:r>
    </w:p>
    <w:p w:rsidR="0090013C" w:rsidRDefault="0090013C" w:rsidP="0090013C">
      <w:pPr>
        <w:rPr>
          <w:rFonts w:ascii="Arial Narrow" w:hAnsi="Arial Narrow"/>
          <w:szCs w:val="22"/>
        </w:rPr>
      </w:pPr>
      <w:r>
        <w:rPr>
          <w:rFonts w:ascii="Arial Narrow" w:hAnsi="Arial Narrow"/>
          <w:b/>
          <w:szCs w:val="22"/>
        </w:rPr>
        <w:t>intempestifs :</w:t>
      </w:r>
      <w:r>
        <w:rPr>
          <w:rFonts w:ascii="Arial Narrow" w:hAnsi="Arial Narrow"/>
          <w:szCs w:val="22"/>
        </w:rPr>
        <w:t xml:space="preserve">  inattendus, imprévisibles.</w:t>
      </w:r>
    </w:p>
    <w:p w:rsidR="0090013C" w:rsidRDefault="0090013C" w:rsidP="0090013C">
      <w:pPr>
        <w:rPr>
          <w:rFonts w:ascii="Arial Narrow" w:hAnsi="Arial Narrow"/>
          <w:szCs w:val="22"/>
        </w:rPr>
      </w:pPr>
      <w:r>
        <w:rPr>
          <w:rFonts w:ascii="Arial Narrow" w:hAnsi="Arial Narrow"/>
          <w:b/>
          <w:szCs w:val="22"/>
        </w:rPr>
        <w:t>notamment :</w:t>
      </w:r>
      <w:r>
        <w:rPr>
          <w:rFonts w:ascii="Arial Narrow" w:hAnsi="Arial Narrow"/>
          <w:szCs w:val="22"/>
        </w:rPr>
        <w:t xml:space="preserve">  en particulier, plus précisément.</w:t>
      </w:r>
    </w:p>
    <w:p w:rsidR="0090013C" w:rsidRDefault="0090013C" w:rsidP="0090013C">
      <w:pPr>
        <w:rPr>
          <w:rFonts w:ascii="Arial Narrow" w:hAnsi="Arial Narrow"/>
          <w:szCs w:val="22"/>
        </w:rPr>
      </w:pPr>
      <w:r>
        <w:rPr>
          <w:rFonts w:ascii="Arial Narrow" w:hAnsi="Arial Narrow"/>
          <w:b/>
          <w:szCs w:val="22"/>
        </w:rPr>
        <w:t>propice :</w:t>
      </w:r>
      <w:r>
        <w:rPr>
          <w:rFonts w:ascii="Arial Narrow" w:hAnsi="Arial Narrow"/>
          <w:szCs w:val="22"/>
        </w:rPr>
        <w:t xml:space="preserve">  favorable, appropriée.</w:t>
      </w:r>
    </w:p>
    <w:p w:rsidR="0090013C" w:rsidRDefault="0090013C" w:rsidP="0090013C">
      <w:pPr>
        <w:rPr>
          <w:rFonts w:ascii="Bookman Old Style" w:hAnsi="Bookman Old Style"/>
          <w:sz w:val="22"/>
          <w:szCs w:val="22"/>
        </w:rPr>
        <w:sectPr w:rsidR="0090013C">
          <w:type w:val="continuous"/>
          <w:pgSz w:w="11907" w:h="16840"/>
          <w:pgMar w:top="1134" w:right="851" w:bottom="851" w:left="1134" w:header="680" w:footer="851" w:gutter="0"/>
          <w:cols w:num="2" w:sep="1" w:space="284"/>
        </w:sectPr>
      </w:pPr>
    </w:p>
    <w:p w:rsidR="0090013C" w:rsidRDefault="0090013C" w:rsidP="0090013C">
      <w:pPr>
        <w:ind w:hanging="426"/>
        <w:jc w:val="both"/>
        <w:rPr>
          <w:rFonts w:ascii="Myriad Web" w:hAnsi="Myriad Web"/>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8C"/>
            </w:r>
          </w:p>
        </w:tc>
        <w:tc>
          <w:tcPr>
            <w:tcW w:w="8307" w:type="dxa"/>
            <w:tcBorders>
              <w:top w:val="nil"/>
              <w:left w:val="nil"/>
              <w:bottom w:val="nil"/>
              <w:right w:val="single" w:sz="4" w:space="0" w:color="auto"/>
            </w:tcBorders>
            <w:hideMark/>
          </w:tcPr>
          <w:p w:rsidR="0090013C" w:rsidRDefault="0090013C">
            <w:pPr>
              <w:spacing w:before="240"/>
              <w:rPr>
                <w:rFonts w:ascii="Myriad Web" w:hAnsi="Myriad Web"/>
                <w:sz w:val="22"/>
                <w:szCs w:val="22"/>
              </w:rPr>
            </w:pPr>
            <w:r>
              <w:rPr>
                <w:rFonts w:ascii="Myriad Web" w:hAnsi="Myriad Web"/>
                <w:sz w:val="22"/>
                <w:szCs w:val="22"/>
              </w:rPr>
              <w:t>Au XII siècle des festivités passionnées se déroulent en Europe.</w:t>
            </w:r>
          </w:p>
        </w:tc>
        <w:tc>
          <w:tcPr>
            <w:tcW w:w="1152"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8D"/>
            </w:r>
          </w:p>
        </w:tc>
        <w:tc>
          <w:tcPr>
            <w:tcW w:w="8307"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2"/>
                <w:szCs w:val="22"/>
              </w:rPr>
              <w:t>On qualifie de Carême prenant les trois derniers jours du carnaval après la période de privations successives.</w:t>
            </w:r>
          </w:p>
        </w:tc>
        <w:tc>
          <w:tcPr>
            <w:tcW w:w="1152"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8E"/>
            </w:r>
          </w:p>
        </w:tc>
        <w:tc>
          <w:tcPr>
            <w:tcW w:w="8307"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2"/>
                <w:szCs w:val="22"/>
              </w:rPr>
              <w:t>Ce n’est qu’à la période de la Renaissance qu’apparaissent les premiers chars décorés.</w:t>
            </w:r>
          </w:p>
        </w:tc>
        <w:tc>
          <w:tcPr>
            <w:tcW w:w="1253"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8F"/>
            </w:r>
          </w:p>
        </w:tc>
        <w:tc>
          <w:tcPr>
            <w:tcW w:w="8307" w:type="dxa"/>
            <w:tcBorders>
              <w:top w:val="nil"/>
              <w:left w:val="nil"/>
              <w:bottom w:val="nil"/>
              <w:right w:val="single" w:sz="4" w:space="0" w:color="auto"/>
            </w:tcBorders>
          </w:tcPr>
          <w:p w:rsidR="0090013C" w:rsidRDefault="0090013C">
            <w:pPr>
              <w:spacing w:before="240"/>
              <w:rPr>
                <w:rFonts w:ascii="Myriad Web" w:hAnsi="Myriad Web"/>
                <w:sz w:val="22"/>
              </w:rPr>
            </w:pPr>
            <w:r>
              <w:rPr>
                <w:rFonts w:ascii="Myriad Web" w:hAnsi="Myriad Web"/>
                <w:sz w:val="22"/>
              </w:rPr>
              <w:t>Le Carnaval au sens actuel voit le jour dans de nombreuses villes d’Europe et d’Amérique du Sud.</w:t>
            </w:r>
          </w:p>
          <w:p w:rsidR="0090013C" w:rsidRDefault="0090013C">
            <w:pPr>
              <w:tabs>
                <w:tab w:val="left" w:pos="9923"/>
              </w:tabs>
              <w:spacing w:before="240"/>
              <w:jc w:val="both"/>
              <w:rPr>
                <w:rFonts w:ascii="Myriad Web" w:hAnsi="Myriad Web"/>
                <w:sz w:val="22"/>
                <w:szCs w:val="22"/>
              </w:rPr>
            </w:pPr>
          </w:p>
        </w:tc>
        <w:tc>
          <w:tcPr>
            <w:tcW w:w="1253"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90"/>
            </w:r>
          </w:p>
        </w:tc>
        <w:tc>
          <w:tcPr>
            <w:tcW w:w="8307"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2"/>
                <w:szCs w:val="22"/>
              </w:rPr>
              <w:t>C’est à l’occasion du séjour à Nice du Roi de Sardaigne, Victor Emmanuel I en 1824 qu’apparaissent les premiers jets de fleurs et de bonbons.</w:t>
            </w:r>
          </w:p>
        </w:tc>
        <w:tc>
          <w:tcPr>
            <w:tcW w:w="1253"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91"/>
            </w:r>
          </w:p>
        </w:tc>
        <w:tc>
          <w:tcPr>
            <w:tcW w:w="8307" w:type="dxa"/>
            <w:tcBorders>
              <w:top w:val="nil"/>
              <w:left w:val="nil"/>
              <w:bottom w:val="nil"/>
              <w:right w:val="single" w:sz="4" w:space="0" w:color="auto"/>
            </w:tcBorders>
            <w:hideMark/>
          </w:tcPr>
          <w:p w:rsidR="0090013C" w:rsidRDefault="0090013C">
            <w:pPr>
              <w:spacing w:before="240"/>
              <w:rPr>
                <w:rFonts w:ascii="Myriad Web" w:hAnsi="Myriad Web"/>
                <w:sz w:val="22"/>
              </w:rPr>
            </w:pPr>
            <w:r>
              <w:rPr>
                <w:rFonts w:ascii="Myriad Web" w:hAnsi="Myriad Web"/>
                <w:sz w:val="22"/>
              </w:rPr>
              <w:t>Le mot dragée se réfère à de petits morceaux de papier.</w:t>
            </w:r>
          </w:p>
        </w:tc>
        <w:tc>
          <w:tcPr>
            <w:tcW w:w="1253"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92"/>
            </w:r>
          </w:p>
        </w:tc>
        <w:tc>
          <w:tcPr>
            <w:tcW w:w="8307"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2"/>
                <w:szCs w:val="22"/>
              </w:rPr>
              <w:t>C’est ainsi que le terme général de confetti fait allusion à des jets intempestifs de matières variées qui provoquent la joie et l’enthousiasme des fêtards.</w:t>
            </w:r>
          </w:p>
        </w:tc>
        <w:tc>
          <w:tcPr>
            <w:tcW w:w="1253"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90013C" w:rsidRDefault="0090013C" w:rsidP="0090013C">
      <w:pPr>
        <w:tabs>
          <w:tab w:val="left" w:pos="9923"/>
        </w:tabs>
        <w:jc w:val="both"/>
        <w:rPr>
          <w:rFonts w:ascii="Myriad Web" w:hAnsi="Myriad We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153"/>
        <w:gridCol w:w="1253"/>
      </w:tblGrid>
      <w:tr w:rsidR="0090013C" w:rsidTr="0090013C">
        <w:trPr>
          <w:trHeight w:val="730"/>
        </w:trPr>
        <w:tc>
          <w:tcPr>
            <w:tcW w:w="448"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6"/>
                <w:szCs w:val="26"/>
              </w:rPr>
              <w:sym w:font="Wingdings" w:char="F093"/>
            </w:r>
          </w:p>
        </w:tc>
        <w:tc>
          <w:tcPr>
            <w:tcW w:w="8307" w:type="dxa"/>
            <w:tcBorders>
              <w:top w:val="nil"/>
              <w:left w:val="nil"/>
              <w:bottom w:val="nil"/>
              <w:right w:val="single" w:sz="4" w:space="0" w:color="auto"/>
            </w:tcBorders>
            <w:hideMark/>
          </w:tcPr>
          <w:p w:rsidR="0090013C" w:rsidRDefault="0090013C">
            <w:pPr>
              <w:tabs>
                <w:tab w:val="left" w:pos="9923"/>
              </w:tabs>
              <w:spacing w:before="240"/>
              <w:jc w:val="both"/>
              <w:rPr>
                <w:rFonts w:ascii="Myriad Web" w:hAnsi="Myriad Web"/>
                <w:sz w:val="22"/>
                <w:szCs w:val="22"/>
              </w:rPr>
            </w:pPr>
            <w:r>
              <w:rPr>
                <w:rFonts w:ascii="Myriad Web" w:hAnsi="Myriad Web"/>
                <w:sz w:val="22"/>
                <w:szCs w:val="22"/>
              </w:rPr>
              <w:t>Les confettis lancés lors de tous les carnavals sont issus de l’invention d’un ingénieur de Modène et ils sont confectionnés par de petits ronds de papier.</w:t>
            </w:r>
          </w:p>
        </w:tc>
        <w:tc>
          <w:tcPr>
            <w:tcW w:w="1253" w:type="dxa"/>
            <w:tcBorders>
              <w:top w:val="nil"/>
              <w:left w:val="single" w:sz="4" w:space="0" w:color="auto"/>
              <w:bottom w:val="nil"/>
              <w:right w:val="nil"/>
            </w:tcBorders>
            <w:hideMark/>
          </w:tcPr>
          <w:p w:rsidR="0090013C" w:rsidRDefault="0090013C">
            <w:pPr>
              <w:tabs>
                <w:tab w:val="left" w:pos="9923"/>
              </w:tabs>
              <w:spacing w:before="240"/>
              <w:jc w:val="both"/>
              <w:rPr>
                <w:rFonts w:ascii="Myriad Web" w:hAnsi="Myriad Web"/>
                <w:b/>
                <w:sz w:val="22"/>
                <w:szCs w:val="22"/>
              </w:rPr>
            </w:pPr>
            <w:r>
              <w:rPr>
                <w:rFonts w:ascii="Myriad Web" w:hAnsi="Myriad Web"/>
                <w:b/>
                <w:sz w:val="22"/>
                <w:szCs w:val="22"/>
              </w:rPr>
              <w:t xml:space="preserve">       </w:t>
            </w:r>
            <w:r>
              <w:rPr>
                <w:rFonts w:ascii="Myriad Web" w:hAnsi="Myriad Web"/>
                <w:b/>
                <w:sz w:val="16"/>
                <w:szCs w:val="22"/>
              </w:rPr>
              <w:t xml:space="preserve"> </w:t>
            </w:r>
            <w:r>
              <w:rPr>
                <w:rFonts w:ascii="Myriad Web" w:hAnsi="Myriad Web"/>
                <w:b/>
                <w:sz w:val="22"/>
                <w:szCs w:val="22"/>
              </w:rPr>
              <w:t>V ou F</w:t>
            </w:r>
          </w:p>
          <w:tbl>
            <w:tblPr>
              <w:tblW w:w="7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37"/>
            </w:tblGrid>
            <w:tr w:rsidR="0090013C">
              <w:trPr>
                <w:trHeight w:val="227"/>
              </w:trPr>
              <w:tc>
                <w:tcPr>
                  <w:tcW w:w="378"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both"/>
                    <w:rPr>
                      <w:rFonts w:ascii="Myriad Web" w:hAnsi="Myriad Web"/>
                      <w:sz w:val="22"/>
                      <w:szCs w:val="22"/>
                    </w:rPr>
                  </w:pPr>
                </w:p>
              </w:tc>
              <w:tc>
                <w:tcPr>
                  <w:tcW w:w="337" w:type="dxa"/>
                  <w:tcBorders>
                    <w:top w:val="single" w:sz="4" w:space="0" w:color="auto"/>
                    <w:left w:val="single" w:sz="4" w:space="0" w:color="auto"/>
                    <w:bottom w:val="single" w:sz="4" w:space="0" w:color="auto"/>
                    <w:right w:val="single" w:sz="4" w:space="0" w:color="auto"/>
                  </w:tcBorders>
                </w:tcPr>
                <w:p w:rsidR="0090013C" w:rsidRDefault="0090013C">
                  <w:pPr>
                    <w:tabs>
                      <w:tab w:val="left" w:pos="9923"/>
                    </w:tabs>
                    <w:spacing w:before="240"/>
                    <w:jc w:val="center"/>
                    <w:rPr>
                      <w:rFonts w:ascii="Myriad Web" w:hAnsi="Myriad Web"/>
                      <w:sz w:val="22"/>
                      <w:szCs w:val="22"/>
                    </w:rPr>
                  </w:pPr>
                </w:p>
              </w:tc>
            </w:tr>
          </w:tbl>
          <w:p w:rsidR="0090013C" w:rsidRDefault="0090013C">
            <w:pPr>
              <w:tabs>
                <w:tab w:val="left" w:pos="9923"/>
              </w:tabs>
              <w:spacing w:before="240"/>
              <w:jc w:val="both"/>
              <w:rPr>
                <w:rFonts w:ascii="Myriad Web" w:hAnsi="Myriad Web"/>
                <w:sz w:val="22"/>
                <w:szCs w:val="22"/>
              </w:rPr>
            </w:pPr>
          </w:p>
        </w:tc>
      </w:tr>
    </w:tbl>
    <w:p w:rsidR="0090013C" w:rsidRDefault="0090013C" w:rsidP="0090013C">
      <w:pPr>
        <w:tabs>
          <w:tab w:val="left" w:pos="9923"/>
        </w:tabs>
        <w:jc w:val="both"/>
        <w:rPr>
          <w:rFonts w:ascii="Myriad Web" w:hAnsi="Myriad Web"/>
          <w:sz w:val="22"/>
          <w:szCs w:val="22"/>
        </w:rPr>
      </w:pPr>
    </w:p>
    <w:p w:rsidR="00095152" w:rsidRDefault="00095152">
      <w:bookmarkStart w:id="0" w:name="_GoBack"/>
      <w:bookmarkEnd w:id="0"/>
    </w:p>
    <w:sectPr w:rsidR="000951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anda">
    <w:altName w:val="MS PGothic"/>
    <w:charset w:val="00"/>
    <w:family w:val="swiss"/>
    <w:pitch w:val="variable"/>
    <w:sig w:usb0="00000003" w:usb1="00000000" w:usb2="00000000" w:usb3="00000000" w:csb0="00000001" w:csb1="00000000"/>
  </w:font>
  <w:font w:name="Andale Sans">
    <w:altName w:val="Malgun Gothic"/>
    <w:charset w:val="00"/>
    <w:family w:val="swiss"/>
    <w:pitch w:val="variable"/>
    <w:sig w:usb0="00000003" w:usb1="00000000" w:usb2="00000000" w:usb3="00000000" w:csb0="00000001" w:csb1="00000000"/>
  </w:font>
  <w:font w:name="Myriad Web">
    <w:altName w:val="Corbel"/>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3C"/>
    <w:rsid w:val="00095152"/>
    <w:rsid w:val="00900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13C"/>
    <w:pPr>
      <w:spacing w:after="0" w:line="240" w:lineRule="auto"/>
    </w:pPr>
    <w:rPr>
      <w:rFonts w:ascii="Times New Roman" w:eastAsia="Times New Roman" w:hAnsi="Times New Roman" w:cs="Times New Roman"/>
      <w:sz w:val="24"/>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13C"/>
    <w:pPr>
      <w:spacing w:after="0" w:line="240" w:lineRule="auto"/>
    </w:pPr>
    <w:rPr>
      <w:rFonts w:ascii="Times New Roman" w:eastAsia="Times New Roman" w:hAnsi="Times New Roman" w:cs="Times New Roman"/>
      <w:sz w:val="24"/>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2014-02-05T14:28:00Z</dcterms:created>
  <dcterms:modified xsi:type="dcterms:W3CDTF">2014-02-05T14:30:00Z</dcterms:modified>
</cp:coreProperties>
</file>