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06" w:rsidRPr="00A31858" w:rsidRDefault="00C87706" w:rsidP="00C87706">
      <w:pPr>
        <w:pBdr>
          <w:bottom w:val="single" w:sz="2" w:space="2" w:color="000000"/>
        </w:pBdr>
        <w:spacing w:line="240" w:lineRule="auto"/>
        <w:jc w:val="both"/>
        <w:rPr>
          <w:rFonts w:ascii="Times New Roman" w:hAnsi="Times New Roman"/>
          <w:b/>
          <w:bCs/>
          <w:sz w:val="14"/>
        </w:rPr>
      </w:pPr>
      <w:r w:rsidRPr="00A31858">
        <w:rPr>
          <w:rFonts w:ascii="Arial" w:eastAsia="Times New Roman" w:hAnsi="Arial" w:cs="Arial"/>
          <w:b/>
          <w:bCs/>
          <w:kern w:val="36"/>
          <w:sz w:val="48"/>
          <w:szCs w:val="75"/>
          <w:lang w:eastAsia="it-IT"/>
        </w:rPr>
        <w:t>COVID-19 ed Erasmus+ nel 2021: la mobilità ibrida</w:t>
      </w:r>
    </w:p>
    <w:p w:rsidR="00C87706" w:rsidRPr="00A31858" w:rsidRDefault="00C87706" w:rsidP="00C87706">
      <w:pPr>
        <w:spacing w:after="0" w:line="240" w:lineRule="auto"/>
        <w:rPr>
          <w:rFonts w:ascii="Arial" w:eastAsia="Times New Roman" w:hAnsi="Arial" w:cs="Arial"/>
          <w:color w:val="1C1C1C"/>
          <w:sz w:val="20"/>
          <w:szCs w:val="32"/>
          <w:lang w:eastAsia="it-IT"/>
        </w:rPr>
      </w:pPr>
      <w:r w:rsidRPr="00A31858">
        <w:rPr>
          <w:rFonts w:ascii="Arial" w:eastAsia="Times New Roman" w:hAnsi="Arial" w:cs="Arial"/>
          <w:color w:val="1C1C1C"/>
          <w:sz w:val="20"/>
          <w:szCs w:val="32"/>
          <w:lang w:eastAsia="it-IT"/>
        </w:rPr>
        <w:t>Scritto da: </w:t>
      </w:r>
      <w:r w:rsidRPr="00A31858">
        <w:rPr>
          <w:rFonts w:ascii="Arial" w:eastAsia="Times New Roman" w:hAnsi="Arial" w:cs="Arial"/>
          <w:b/>
          <w:bCs/>
          <w:color w:val="1C1C1C"/>
          <w:sz w:val="20"/>
          <w:szCs w:val="32"/>
          <w:lang w:eastAsia="it-IT"/>
        </w:rPr>
        <w:t xml:space="preserve">Stefano </w:t>
      </w:r>
      <w:proofErr w:type="spellStart"/>
      <w:r w:rsidRPr="00A31858">
        <w:rPr>
          <w:rFonts w:ascii="Arial" w:eastAsia="Times New Roman" w:hAnsi="Arial" w:cs="Arial"/>
          <w:b/>
          <w:bCs/>
          <w:color w:val="1C1C1C"/>
          <w:sz w:val="20"/>
          <w:szCs w:val="32"/>
          <w:lang w:eastAsia="it-IT"/>
        </w:rPr>
        <w:t>Potortì</w:t>
      </w:r>
      <w:proofErr w:type="spellEnd"/>
    </w:p>
    <w:p w:rsidR="00C87706" w:rsidRPr="00A31858" w:rsidRDefault="00C87706" w:rsidP="00C87706">
      <w:pPr>
        <w:spacing w:after="0" w:line="240" w:lineRule="auto"/>
        <w:rPr>
          <w:rFonts w:ascii="Arial" w:eastAsia="Times New Roman" w:hAnsi="Arial" w:cs="Arial"/>
          <w:color w:val="1C1C1C"/>
          <w:sz w:val="20"/>
          <w:szCs w:val="32"/>
          <w:lang w:eastAsia="it-IT"/>
        </w:rPr>
      </w:pPr>
      <w:r w:rsidRPr="00A31858">
        <w:rPr>
          <w:rFonts w:ascii="Arial" w:eastAsia="Times New Roman" w:hAnsi="Arial" w:cs="Arial"/>
          <w:color w:val="1C1C1C"/>
          <w:sz w:val="20"/>
          <w:szCs w:val="32"/>
          <w:lang w:eastAsia="it-IT"/>
        </w:rPr>
        <w:t>Ora che la situazione è meglio delineata e le attività sono quasi tutte in fase di ripresa, anche l’istruzione sta mettendo in moto il suo piano di continuità in tutta Europa attraverso i progetti comunitari, a dispetto della situazione di qualche mese fa, in cui sembrava che </w:t>
      </w:r>
      <w:r w:rsidRPr="00A31858">
        <w:rPr>
          <w:rFonts w:ascii="Arial" w:eastAsia="Times New Roman" w:hAnsi="Arial" w:cs="Arial"/>
          <w:b/>
          <w:bCs/>
          <w:color w:val="1C1C1C"/>
          <w:sz w:val="20"/>
          <w:szCs w:val="32"/>
          <w:lang w:eastAsia="it-IT"/>
        </w:rPr>
        <w:t>COVID-19 ed Erasmus+</w:t>
      </w:r>
      <w:r w:rsidRPr="00A31858">
        <w:rPr>
          <w:rFonts w:ascii="Arial" w:eastAsia="Times New Roman" w:hAnsi="Arial" w:cs="Arial"/>
          <w:color w:val="1C1C1C"/>
          <w:sz w:val="20"/>
          <w:szCs w:val="32"/>
          <w:lang w:eastAsia="it-IT"/>
        </w:rPr>
        <w:t> fossero destinati a non coesistere.</w:t>
      </w:r>
    </w:p>
    <w:p w:rsidR="00C87706" w:rsidRPr="00A31858" w:rsidRDefault="00C87706" w:rsidP="00C877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0"/>
          <w:szCs w:val="32"/>
          <w:lang w:eastAsia="it-IT"/>
        </w:rPr>
      </w:pPr>
      <w:r w:rsidRPr="00A31858">
        <w:rPr>
          <w:rFonts w:ascii="Arial" w:eastAsia="Times New Roman" w:hAnsi="Arial" w:cs="Arial"/>
          <w:color w:val="1C1C1C"/>
          <w:sz w:val="20"/>
          <w:szCs w:val="32"/>
          <w:lang w:eastAsia="it-IT"/>
        </w:rPr>
        <w:t xml:space="preserve">I mesi di </w:t>
      </w:r>
      <w:proofErr w:type="spellStart"/>
      <w:r w:rsidRPr="00A31858">
        <w:rPr>
          <w:rFonts w:ascii="Arial" w:eastAsia="Times New Roman" w:hAnsi="Arial" w:cs="Arial"/>
          <w:color w:val="1C1C1C"/>
          <w:sz w:val="20"/>
          <w:szCs w:val="32"/>
          <w:lang w:eastAsia="it-IT"/>
        </w:rPr>
        <w:t>lockdown</w:t>
      </w:r>
      <w:proofErr w:type="spellEnd"/>
      <w:r w:rsidRPr="00A31858">
        <w:rPr>
          <w:rFonts w:ascii="Arial" w:eastAsia="Times New Roman" w:hAnsi="Arial" w:cs="Arial"/>
          <w:color w:val="1C1C1C"/>
          <w:sz w:val="20"/>
          <w:szCs w:val="32"/>
          <w:lang w:eastAsia="it-IT"/>
        </w:rPr>
        <w:t xml:space="preserve"> hanno interrotto prematuramente i progetti Erasmus in corso e alcuni studenti e insegnanti sono stati costretti per qualche tempo a rimanere in </w:t>
      </w:r>
      <w:hyperlink r:id="rId5" w:history="1">
        <w:r w:rsidRPr="00A31858">
          <w:rPr>
            <w:rFonts w:ascii="Arial" w:eastAsia="Times New Roman" w:hAnsi="Arial" w:cs="Arial"/>
            <w:color w:val="00247D"/>
            <w:sz w:val="20"/>
            <w:szCs w:val="32"/>
            <w:lang w:eastAsia="it-IT"/>
          </w:rPr>
          <w:t>quarantena</w:t>
        </w:r>
      </w:hyperlink>
      <w:r w:rsidRPr="00A31858">
        <w:rPr>
          <w:rFonts w:ascii="Arial" w:eastAsia="Times New Roman" w:hAnsi="Arial" w:cs="Arial"/>
          <w:color w:val="1C1C1C"/>
          <w:sz w:val="20"/>
          <w:szCs w:val="32"/>
          <w:lang w:eastAsia="it-IT"/>
        </w:rPr>
        <w:t> nei Paesi ospitanti.</w:t>
      </w:r>
    </w:p>
    <w:p w:rsidR="00C87706" w:rsidRPr="00A31858" w:rsidRDefault="00C87706" w:rsidP="00C877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0"/>
          <w:szCs w:val="32"/>
          <w:lang w:eastAsia="it-IT"/>
        </w:rPr>
      </w:pPr>
      <w:r w:rsidRPr="00A31858">
        <w:rPr>
          <w:rFonts w:ascii="Arial" w:eastAsia="Times New Roman" w:hAnsi="Arial" w:cs="Arial"/>
          <w:color w:val="1C1C1C"/>
          <w:sz w:val="20"/>
          <w:szCs w:val="32"/>
          <w:lang w:eastAsia="it-IT"/>
        </w:rPr>
        <w:t>Per il prossimo anno accademico, invece, la Commissione Europea non pianifica nessuno stop delle attività. Tuttavia, visti i tempi incerti, è necessario che qualche </w:t>
      </w:r>
      <w:r w:rsidRPr="00A31858">
        <w:rPr>
          <w:rFonts w:ascii="Arial" w:eastAsia="Times New Roman" w:hAnsi="Arial" w:cs="Arial"/>
          <w:b/>
          <w:bCs/>
          <w:color w:val="1C1C1C"/>
          <w:sz w:val="20"/>
          <w:szCs w:val="32"/>
          <w:lang w:eastAsia="it-IT"/>
        </w:rPr>
        <w:t>cambiamento nella modalità</w:t>
      </w:r>
      <w:r w:rsidRPr="00A31858">
        <w:rPr>
          <w:rFonts w:ascii="Arial" w:eastAsia="Times New Roman" w:hAnsi="Arial" w:cs="Arial"/>
          <w:color w:val="1C1C1C"/>
          <w:sz w:val="20"/>
          <w:szCs w:val="32"/>
          <w:lang w:eastAsia="it-IT"/>
        </w:rPr>
        <w:t> in cui si svolge il programma avvenga da subito.</w:t>
      </w:r>
    </w:p>
    <w:p w:rsidR="00C87706" w:rsidRPr="00A31858" w:rsidRDefault="00C87706" w:rsidP="00C877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0"/>
          <w:szCs w:val="32"/>
          <w:lang w:eastAsia="it-IT"/>
        </w:rPr>
      </w:pPr>
      <w:r w:rsidRPr="00A31858">
        <w:rPr>
          <w:rFonts w:ascii="Arial" w:eastAsia="Times New Roman" w:hAnsi="Arial" w:cs="Arial"/>
          <w:color w:val="1C1C1C"/>
          <w:sz w:val="20"/>
          <w:szCs w:val="32"/>
          <w:lang w:eastAsia="it-IT"/>
        </w:rPr>
        <w:t>Molti studenti e docenti hanno atteso la fine dell’estate e l’inizio dell’anno accademico per partire, ma la verità è che la situazione è ancora molto incerta. È proprio questo il motivo, però, che fa del 2021 un anno rivoluzionario per il </w:t>
      </w:r>
      <w:hyperlink r:id="rId6" w:history="1">
        <w:r w:rsidRPr="00A31858">
          <w:rPr>
            <w:rFonts w:ascii="Arial" w:eastAsia="Times New Roman" w:hAnsi="Arial" w:cs="Arial"/>
            <w:color w:val="00247D"/>
            <w:sz w:val="20"/>
            <w:szCs w:val="32"/>
            <w:lang w:eastAsia="it-IT"/>
          </w:rPr>
          <w:t>Erasmus+</w:t>
        </w:r>
      </w:hyperlink>
      <w:r w:rsidRPr="00A31858">
        <w:rPr>
          <w:rFonts w:ascii="Arial" w:eastAsia="Times New Roman" w:hAnsi="Arial" w:cs="Arial"/>
          <w:color w:val="1C1C1C"/>
          <w:sz w:val="20"/>
          <w:szCs w:val="32"/>
          <w:lang w:eastAsia="it-IT"/>
        </w:rPr>
        <w:t>, con la sperimentazione di una nuova modalità: la mobilità ibrida.</w:t>
      </w:r>
    </w:p>
    <w:p w:rsidR="00C87706" w:rsidRPr="00A31858" w:rsidRDefault="00C87706" w:rsidP="00C8770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C1C1C"/>
          <w:sz w:val="44"/>
          <w:szCs w:val="68"/>
          <w:lang w:eastAsia="it-IT"/>
        </w:rPr>
      </w:pPr>
      <w:r w:rsidRPr="00A31858">
        <w:rPr>
          <w:rFonts w:ascii="Arial" w:eastAsia="Times New Roman" w:hAnsi="Arial" w:cs="Arial"/>
          <w:b/>
          <w:bCs/>
          <w:color w:val="1C1C1C"/>
          <w:sz w:val="44"/>
          <w:szCs w:val="68"/>
          <w:lang w:eastAsia="it-IT"/>
        </w:rPr>
        <w:t>Cos’è la mobilità ibrida</w:t>
      </w:r>
    </w:p>
    <w:p w:rsidR="00C87706" w:rsidRPr="00A31858" w:rsidRDefault="00C87706" w:rsidP="00C877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0"/>
          <w:szCs w:val="32"/>
          <w:lang w:eastAsia="it-IT"/>
        </w:rPr>
      </w:pPr>
      <w:r w:rsidRPr="00A31858">
        <w:rPr>
          <w:rFonts w:ascii="Arial" w:eastAsia="Times New Roman" w:hAnsi="Arial" w:cs="Arial"/>
          <w:color w:val="1C1C1C"/>
          <w:sz w:val="20"/>
          <w:szCs w:val="32"/>
          <w:lang w:eastAsia="it-IT"/>
        </w:rPr>
        <w:t xml:space="preserve">Durante il </w:t>
      </w:r>
      <w:proofErr w:type="spellStart"/>
      <w:r w:rsidRPr="00A31858">
        <w:rPr>
          <w:rFonts w:ascii="Arial" w:eastAsia="Times New Roman" w:hAnsi="Arial" w:cs="Arial"/>
          <w:color w:val="1C1C1C"/>
          <w:sz w:val="20"/>
          <w:szCs w:val="32"/>
          <w:lang w:eastAsia="it-IT"/>
        </w:rPr>
        <w:t>lockdown</w:t>
      </w:r>
      <w:proofErr w:type="spellEnd"/>
      <w:r w:rsidRPr="00A31858">
        <w:rPr>
          <w:rFonts w:ascii="Arial" w:eastAsia="Times New Roman" w:hAnsi="Arial" w:cs="Arial"/>
          <w:color w:val="1C1C1C"/>
          <w:sz w:val="20"/>
          <w:szCs w:val="32"/>
          <w:lang w:eastAsia="it-IT"/>
        </w:rPr>
        <w:t xml:space="preserve"> della prima parte dell’anno abbiamo scoperto che molte delle attività che prima pensavamo di poter svolgere solo spostandoci fisicamente in un luogo, possono essere svolte anche in forma virtuale.</w:t>
      </w:r>
    </w:p>
    <w:p w:rsidR="00C87706" w:rsidRPr="00A31858" w:rsidRDefault="00C87706" w:rsidP="00C877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0"/>
          <w:szCs w:val="32"/>
          <w:lang w:eastAsia="it-IT"/>
        </w:rPr>
      </w:pPr>
      <w:r w:rsidRPr="00A31858">
        <w:rPr>
          <w:rFonts w:ascii="Arial" w:eastAsia="Times New Roman" w:hAnsi="Arial" w:cs="Arial"/>
          <w:color w:val="1C1C1C"/>
          <w:sz w:val="20"/>
          <w:szCs w:val="32"/>
          <w:lang w:eastAsia="it-IT"/>
        </w:rPr>
        <w:t>È ciò che è stato fatto quest’estate, per esempio, con la </w:t>
      </w:r>
      <w:proofErr w:type="spellStart"/>
      <w:r w:rsidRPr="00A31858">
        <w:rPr>
          <w:rFonts w:ascii="Arial" w:eastAsia="Times New Roman" w:hAnsi="Arial" w:cs="Arial"/>
          <w:color w:val="1C1C1C"/>
          <w:sz w:val="20"/>
          <w:szCs w:val="32"/>
          <w:lang w:eastAsia="it-IT"/>
        </w:rPr>
        <w:fldChar w:fldCharType="begin"/>
      </w:r>
      <w:r w:rsidRPr="00A31858">
        <w:rPr>
          <w:rFonts w:ascii="Arial" w:eastAsia="Times New Roman" w:hAnsi="Arial" w:cs="Arial"/>
          <w:color w:val="1C1C1C"/>
          <w:sz w:val="20"/>
          <w:szCs w:val="32"/>
          <w:lang w:eastAsia="it-IT"/>
        </w:rPr>
        <w:instrText xml:space="preserve"> HYPERLINK "https://www.sagittertraining.com/londra-a-casa-tua-parte-la-digital-summer-school/" </w:instrText>
      </w:r>
      <w:r w:rsidRPr="00A31858">
        <w:rPr>
          <w:rFonts w:ascii="Arial" w:eastAsia="Times New Roman" w:hAnsi="Arial" w:cs="Arial"/>
          <w:color w:val="1C1C1C"/>
          <w:sz w:val="20"/>
          <w:szCs w:val="32"/>
          <w:lang w:eastAsia="it-IT"/>
        </w:rPr>
        <w:fldChar w:fldCharType="separate"/>
      </w:r>
      <w:r w:rsidRPr="00A31858">
        <w:rPr>
          <w:rFonts w:ascii="Arial" w:eastAsia="Times New Roman" w:hAnsi="Arial" w:cs="Arial"/>
          <w:color w:val="00247D"/>
          <w:sz w:val="20"/>
          <w:szCs w:val="32"/>
          <w:lang w:eastAsia="it-IT"/>
        </w:rPr>
        <w:t>London</w:t>
      </w:r>
      <w:proofErr w:type="spellEnd"/>
      <w:r w:rsidRPr="00A31858">
        <w:rPr>
          <w:rFonts w:ascii="Arial" w:eastAsia="Times New Roman" w:hAnsi="Arial" w:cs="Arial"/>
          <w:color w:val="00247D"/>
          <w:sz w:val="20"/>
          <w:szCs w:val="32"/>
          <w:lang w:eastAsia="it-IT"/>
        </w:rPr>
        <w:t xml:space="preserve"> Digital </w:t>
      </w:r>
      <w:proofErr w:type="spellStart"/>
      <w:r w:rsidRPr="00A31858">
        <w:rPr>
          <w:rFonts w:ascii="Arial" w:eastAsia="Times New Roman" w:hAnsi="Arial" w:cs="Arial"/>
          <w:color w:val="00247D"/>
          <w:sz w:val="20"/>
          <w:szCs w:val="32"/>
          <w:lang w:eastAsia="it-IT"/>
        </w:rPr>
        <w:t>Summer</w:t>
      </w:r>
      <w:proofErr w:type="spellEnd"/>
      <w:r w:rsidRPr="00A31858">
        <w:rPr>
          <w:rFonts w:ascii="Arial" w:eastAsia="Times New Roman" w:hAnsi="Arial" w:cs="Arial"/>
          <w:color w:val="00247D"/>
          <w:sz w:val="20"/>
          <w:szCs w:val="32"/>
          <w:lang w:eastAsia="it-IT"/>
        </w:rPr>
        <w:t xml:space="preserve"> School</w:t>
      </w:r>
      <w:r w:rsidRPr="00A31858">
        <w:rPr>
          <w:rFonts w:ascii="Arial" w:eastAsia="Times New Roman" w:hAnsi="Arial" w:cs="Arial"/>
          <w:color w:val="1C1C1C"/>
          <w:sz w:val="20"/>
          <w:szCs w:val="32"/>
          <w:lang w:eastAsia="it-IT"/>
        </w:rPr>
        <w:fldChar w:fldCharType="end"/>
      </w:r>
      <w:r w:rsidRPr="00A31858">
        <w:rPr>
          <w:rFonts w:ascii="Arial" w:eastAsia="Times New Roman" w:hAnsi="Arial" w:cs="Arial"/>
          <w:color w:val="1C1C1C"/>
          <w:sz w:val="20"/>
          <w:szCs w:val="32"/>
          <w:lang w:eastAsia="it-IT"/>
        </w:rPr>
        <w:t>.</w:t>
      </w:r>
    </w:p>
    <w:p w:rsidR="00C87706" w:rsidRPr="00A31858" w:rsidRDefault="00C87706" w:rsidP="00C877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0"/>
          <w:szCs w:val="32"/>
          <w:lang w:eastAsia="it-IT"/>
        </w:rPr>
      </w:pPr>
      <w:r w:rsidRPr="00A31858">
        <w:rPr>
          <w:rFonts w:ascii="Arial" w:eastAsia="Times New Roman" w:hAnsi="Arial" w:cs="Arial"/>
          <w:color w:val="1C1C1C"/>
          <w:sz w:val="20"/>
          <w:szCs w:val="32"/>
          <w:lang w:eastAsia="it-IT"/>
        </w:rPr>
        <w:t>Naturalmente non sarà la stessa cosa, talvolta si avrà l’impressione di vivere una </w:t>
      </w:r>
      <w:r w:rsidRPr="00A31858">
        <w:rPr>
          <w:rFonts w:ascii="Times New Roman" w:eastAsia="Times New Roman" w:hAnsi="Times New Roman" w:cs="Times New Roman"/>
          <w:i/>
          <w:iCs/>
          <w:color w:val="1C1C1C"/>
          <w:sz w:val="20"/>
          <w:szCs w:val="32"/>
          <w:lang w:eastAsia="it-IT"/>
        </w:rPr>
        <w:t>riduzione in scala</w:t>
      </w:r>
      <w:r w:rsidRPr="00A31858">
        <w:rPr>
          <w:rFonts w:ascii="Arial" w:eastAsia="Times New Roman" w:hAnsi="Arial" w:cs="Arial"/>
          <w:color w:val="1C1C1C"/>
          <w:sz w:val="20"/>
          <w:szCs w:val="32"/>
          <w:lang w:eastAsia="it-IT"/>
        </w:rPr>
        <w:t> degli eventi, ma ciò che resta intatto è sicuramente il vantaggio di aver studiato in un contesto diverso dal proprio.</w:t>
      </w:r>
    </w:p>
    <w:p w:rsidR="00C87706" w:rsidRPr="00A31858" w:rsidRDefault="00C87706" w:rsidP="00C877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0"/>
          <w:szCs w:val="32"/>
          <w:lang w:eastAsia="it-IT"/>
        </w:rPr>
      </w:pPr>
      <w:r w:rsidRPr="00A31858">
        <w:rPr>
          <w:rFonts w:ascii="Arial" w:eastAsia="Times New Roman" w:hAnsi="Arial" w:cs="Arial"/>
          <w:color w:val="1C1C1C"/>
          <w:sz w:val="20"/>
          <w:szCs w:val="32"/>
          <w:lang w:eastAsia="it-IT"/>
        </w:rPr>
        <w:t>La </w:t>
      </w:r>
      <w:r w:rsidRPr="00A31858">
        <w:rPr>
          <w:rFonts w:ascii="Arial" w:eastAsia="Times New Roman" w:hAnsi="Arial" w:cs="Arial"/>
          <w:b/>
          <w:bCs/>
          <w:color w:val="1C1C1C"/>
          <w:sz w:val="20"/>
          <w:szCs w:val="32"/>
          <w:lang w:eastAsia="it-IT"/>
        </w:rPr>
        <w:t>mobilità ibrida</w:t>
      </w:r>
      <w:r w:rsidRPr="00A31858">
        <w:rPr>
          <w:rFonts w:ascii="Arial" w:eastAsia="Times New Roman" w:hAnsi="Arial" w:cs="Arial"/>
          <w:color w:val="1C1C1C"/>
          <w:sz w:val="20"/>
          <w:szCs w:val="32"/>
          <w:lang w:eastAsia="it-IT"/>
        </w:rPr>
        <w:t> fa proprio questo: offre un periodo di studio virtuale, da svolgere nel proprio Paese di residenza, per poi trasferirsi all’estero per il regolare periodo di mobilità, che resta comunque obbligatorio.</w:t>
      </w:r>
    </w:p>
    <w:p w:rsidR="00C87706" w:rsidRPr="00A31858" w:rsidRDefault="00C87706" w:rsidP="00C877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0"/>
          <w:szCs w:val="32"/>
          <w:lang w:eastAsia="it-IT"/>
        </w:rPr>
      </w:pPr>
      <w:r w:rsidRPr="00A31858">
        <w:rPr>
          <w:rFonts w:ascii="Arial" w:eastAsia="Times New Roman" w:hAnsi="Arial" w:cs="Arial"/>
          <w:color w:val="1C1C1C"/>
          <w:sz w:val="20"/>
          <w:szCs w:val="32"/>
          <w:lang w:eastAsia="it-IT"/>
        </w:rPr>
        <w:t>Tuttavia, resta comunque uno scenario spiacevole in cui si potrebbe essere forzati a continuare a seguire le </w:t>
      </w:r>
      <w:r w:rsidRPr="00A31858">
        <w:rPr>
          <w:rFonts w:ascii="Arial" w:eastAsia="Times New Roman" w:hAnsi="Arial" w:cs="Arial"/>
          <w:b/>
          <w:bCs/>
          <w:color w:val="1C1C1C"/>
          <w:sz w:val="20"/>
          <w:szCs w:val="32"/>
          <w:lang w:eastAsia="it-IT"/>
        </w:rPr>
        <w:t>lezioni da casa</w:t>
      </w:r>
      <w:r w:rsidRPr="00A31858">
        <w:rPr>
          <w:rFonts w:ascii="Arial" w:eastAsia="Times New Roman" w:hAnsi="Arial" w:cs="Arial"/>
          <w:color w:val="1C1C1C"/>
          <w:sz w:val="20"/>
          <w:szCs w:val="32"/>
          <w:lang w:eastAsia="it-IT"/>
        </w:rPr>
        <w:t> anche dopo la partenza, con visite sporadiche all’ateneo, a seconda delle politiche sanitarie del Paese ospitante.</w:t>
      </w:r>
    </w:p>
    <w:p w:rsidR="00C87706" w:rsidRPr="00A31858" w:rsidRDefault="00C87706" w:rsidP="00C877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0"/>
          <w:szCs w:val="32"/>
          <w:lang w:eastAsia="it-IT"/>
        </w:rPr>
      </w:pPr>
      <w:r w:rsidRPr="00A31858">
        <w:rPr>
          <w:rFonts w:ascii="Arial" w:eastAsia="Times New Roman" w:hAnsi="Arial" w:cs="Arial"/>
          <w:color w:val="1C1C1C"/>
          <w:sz w:val="20"/>
          <w:szCs w:val="32"/>
          <w:lang w:eastAsia="it-IT"/>
        </w:rPr>
        <w:t>La relazione tra COVID-19 ed Erasmus+ resta difficile, ma possibile.</w:t>
      </w:r>
    </w:p>
    <w:p w:rsidR="00C87706" w:rsidRPr="00A31858" w:rsidRDefault="00C87706" w:rsidP="00C8770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C1C1C"/>
          <w:sz w:val="44"/>
          <w:szCs w:val="68"/>
          <w:lang w:eastAsia="it-IT"/>
        </w:rPr>
      </w:pPr>
      <w:r w:rsidRPr="00A31858">
        <w:rPr>
          <w:rFonts w:ascii="Arial" w:eastAsia="Times New Roman" w:hAnsi="Arial" w:cs="Arial"/>
          <w:b/>
          <w:bCs/>
          <w:color w:val="1C1C1C"/>
          <w:sz w:val="44"/>
          <w:szCs w:val="68"/>
          <w:lang w:eastAsia="it-IT"/>
        </w:rPr>
        <w:t>Cosa cambia per le borse di studio</w:t>
      </w:r>
    </w:p>
    <w:p w:rsidR="00C87706" w:rsidRPr="00A31858" w:rsidRDefault="00C87706" w:rsidP="00C877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0"/>
          <w:szCs w:val="32"/>
          <w:lang w:eastAsia="it-IT"/>
        </w:rPr>
      </w:pPr>
      <w:r w:rsidRPr="00A31858">
        <w:rPr>
          <w:rFonts w:ascii="Arial" w:eastAsia="Times New Roman" w:hAnsi="Arial" w:cs="Arial"/>
          <w:color w:val="1C1C1C"/>
          <w:sz w:val="20"/>
          <w:szCs w:val="32"/>
          <w:lang w:eastAsia="it-IT"/>
        </w:rPr>
        <w:t>Durante il periodo di sola </w:t>
      </w:r>
      <w:r w:rsidRPr="00A31858">
        <w:rPr>
          <w:rFonts w:ascii="Arial" w:eastAsia="Times New Roman" w:hAnsi="Arial" w:cs="Arial"/>
          <w:b/>
          <w:bCs/>
          <w:color w:val="1C1C1C"/>
          <w:sz w:val="20"/>
          <w:szCs w:val="32"/>
          <w:lang w:eastAsia="it-IT"/>
        </w:rPr>
        <w:t>didattica virtuale</w:t>
      </w:r>
      <w:r w:rsidRPr="00A31858">
        <w:rPr>
          <w:rFonts w:ascii="Arial" w:eastAsia="Times New Roman" w:hAnsi="Arial" w:cs="Arial"/>
          <w:color w:val="1C1C1C"/>
          <w:sz w:val="20"/>
          <w:szCs w:val="32"/>
          <w:lang w:eastAsia="it-IT"/>
        </w:rPr>
        <w:t>, non verrà erogato alcun contributo, poiché la Commissione Europea ha valutato che durante tale periodo l’attività di studio potrebbe e dovrebbe essere sostenuta senza costi aggiuntivi.</w:t>
      </w:r>
    </w:p>
    <w:p w:rsidR="00C87706" w:rsidRPr="00A31858" w:rsidRDefault="00C87706" w:rsidP="00C877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0"/>
          <w:szCs w:val="32"/>
          <w:lang w:eastAsia="it-IT"/>
        </w:rPr>
      </w:pPr>
      <w:r w:rsidRPr="00A31858">
        <w:rPr>
          <w:rFonts w:ascii="Arial" w:eastAsia="Times New Roman" w:hAnsi="Arial" w:cs="Arial"/>
          <w:color w:val="1C1C1C"/>
          <w:sz w:val="20"/>
          <w:szCs w:val="32"/>
          <w:lang w:eastAsia="it-IT"/>
        </w:rPr>
        <w:t>Una volta iniziato il </w:t>
      </w:r>
      <w:r w:rsidRPr="00A31858">
        <w:rPr>
          <w:rFonts w:ascii="Arial" w:eastAsia="Times New Roman" w:hAnsi="Arial" w:cs="Arial"/>
          <w:b/>
          <w:bCs/>
          <w:color w:val="1C1C1C"/>
          <w:sz w:val="20"/>
          <w:szCs w:val="32"/>
          <w:lang w:eastAsia="it-IT"/>
        </w:rPr>
        <w:t>periodo all’estero</w:t>
      </w:r>
      <w:r w:rsidRPr="00A31858">
        <w:rPr>
          <w:rFonts w:ascii="Arial" w:eastAsia="Times New Roman" w:hAnsi="Arial" w:cs="Arial"/>
          <w:color w:val="1C1C1C"/>
          <w:sz w:val="20"/>
          <w:szCs w:val="32"/>
          <w:lang w:eastAsia="it-IT"/>
        </w:rPr>
        <w:t>, tuttavia, i fondi delle borse di studio vengono erogati come di consueto.</w:t>
      </w:r>
    </w:p>
    <w:p w:rsidR="00C87706" w:rsidRPr="00A31858" w:rsidRDefault="00C87706" w:rsidP="00C877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0"/>
          <w:szCs w:val="32"/>
          <w:lang w:eastAsia="it-IT"/>
        </w:rPr>
      </w:pPr>
      <w:r w:rsidRPr="00A31858">
        <w:rPr>
          <w:rFonts w:ascii="Arial" w:eastAsia="Times New Roman" w:hAnsi="Arial" w:cs="Arial"/>
          <w:color w:val="1C1C1C"/>
          <w:sz w:val="20"/>
          <w:szCs w:val="32"/>
          <w:lang w:eastAsia="it-IT"/>
        </w:rPr>
        <w:t>Inoltre, la borsa di studio viene concessa anche nei casi in cui si studia da remoto ma si soggiorna all’estero, dunque qualora lo studente sia costretto a seguire le lezioni da remoto, potrà comunque coprire parte delle spese domestiche con i contributi economici ricevuti.</w:t>
      </w:r>
    </w:p>
    <w:p w:rsidR="00C87706" w:rsidRPr="00A31858" w:rsidRDefault="00C87706" w:rsidP="00C877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0"/>
          <w:szCs w:val="32"/>
          <w:lang w:eastAsia="it-IT"/>
        </w:rPr>
      </w:pPr>
      <w:r w:rsidRPr="00A31858">
        <w:rPr>
          <w:rFonts w:ascii="Arial" w:eastAsia="Times New Roman" w:hAnsi="Arial" w:cs="Arial"/>
          <w:color w:val="1C1C1C"/>
          <w:sz w:val="20"/>
          <w:szCs w:val="32"/>
          <w:lang w:eastAsia="it-IT"/>
        </w:rPr>
        <w:lastRenderedPageBreak/>
        <w:t>Qualora non sia possibile partire, prevale la </w:t>
      </w:r>
      <w:hyperlink r:id="rId7" w:history="1">
        <w:r w:rsidRPr="00A31858">
          <w:rPr>
            <w:rFonts w:ascii="Arial" w:eastAsia="Times New Roman" w:hAnsi="Arial" w:cs="Arial"/>
            <w:color w:val="00247D"/>
            <w:sz w:val="20"/>
            <w:szCs w:val="32"/>
            <w:lang w:eastAsia="it-IT"/>
          </w:rPr>
          <w:t>clausola di forza maggiore</w:t>
        </w:r>
      </w:hyperlink>
      <w:r w:rsidRPr="00A31858">
        <w:rPr>
          <w:rFonts w:ascii="Arial" w:eastAsia="Times New Roman" w:hAnsi="Arial" w:cs="Arial"/>
          <w:color w:val="1C1C1C"/>
          <w:sz w:val="20"/>
          <w:szCs w:val="32"/>
          <w:lang w:eastAsia="it-IT"/>
        </w:rPr>
        <w:t>, dunque nessuna penale potrà essere inflitta a chi non parte.</w:t>
      </w:r>
    </w:p>
    <w:p w:rsidR="00C87706" w:rsidRPr="00A31858" w:rsidRDefault="00C87706" w:rsidP="00C877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0"/>
          <w:szCs w:val="32"/>
          <w:lang w:eastAsia="it-IT"/>
        </w:rPr>
      </w:pPr>
      <w:hyperlink r:id="rId8" w:tgtFrame="_blank" w:history="1">
        <w:r w:rsidRPr="00A31858">
          <w:rPr>
            <w:rFonts w:ascii="Arial" w:eastAsia="Times New Roman" w:hAnsi="Arial" w:cs="Arial"/>
            <w:color w:val="00247D"/>
            <w:sz w:val="20"/>
            <w:szCs w:val="32"/>
            <w:lang w:eastAsia="it-IT"/>
          </w:rPr>
          <w:t>Stando al Sole 24 Ore</w:t>
        </w:r>
      </w:hyperlink>
      <w:r w:rsidRPr="00A31858">
        <w:rPr>
          <w:rFonts w:ascii="Arial" w:eastAsia="Times New Roman" w:hAnsi="Arial" w:cs="Arial"/>
          <w:color w:val="1C1C1C"/>
          <w:sz w:val="20"/>
          <w:szCs w:val="32"/>
          <w:lang w:eastAsia="it-IT"/>
        </w:rPr>
        <w:t>, in Lombardia e in Lazio ci sarebbe un vero e proprio </w:t>
      </w:r>
      <w:r w:rsidRPr="00A31858">
        <w:rPr>
          <w:rFonts w:ascii="Arial" w:eastAsia="Times New Roman" w:hAnsi="Arial" w:cs="Arial"/>
          <w:b/>
          <w:bCs/>
          <w:color w:val="1C1C1C"/>
          <w:sz w:val="20"/>
          <w:szCs w:val="32"/>
          <w:lang w:eastAsia="it-IT"/>
        </w:rPr>
        <w:t>boom di candidature</w:t>
      </w:r>
      <w:r w:rsidRPr="00A31858">
        <w:rPr>
          <w:rFonts w:ascii="Arial" w:eastAsia="Times New Roman" w:hAnsi="Arial" w:cs="Arial"/>
          <w:color w:val="1C1C1C"/>
          <w:sz w:val="20"/>
          <w:szCs w:val="32"/>
          <w:lang w:eastAsia="it-IT"/>
        </w:rPr>
        <w:t xml:space="preserve">: oltre 14mila domande in Lombardia, quindi un aumento dell’8,4% rispetto allo scorso anno. </w:t>
      </w:r>
    </w:p>
    <w:p w:rsidR="00C87706" w:rsidRPr="00A31858" w:rsidRDefault="00C87706" w:rsidP="00C87706">
      <w:pPr>
        <w:pStyle w:val="Paragrafoelenco"/>
        <w:spacing w:after="0" w:line="240" w:lineRule="auto"/>
        <w:ind w:left="643"/>
        <w:rPr>
          <w:rFonts w:ascii="Arial" w:eastAsia="Times New Roman" w:hAnsi="Arial" w:cs="Arial"/>
          <w:color w:val="1C1C1C"/>
          <w:sz w:val="20"/>
          <w:szCs w:val="32"/>
          <w:lang w:eastAsia="it-IT"/>
        </w:rPr>
      </w:pPr>
      <w:r w:rsidRPr="00A31858">
        <w:rPr>
          <w:rFonts w:ascii="Arial" w:eastAsia="Times New Roman" w:hAnsi="Arial" w:cs="Arial"/>
          <w:color w:val="1C1C1C"/>
          <w:sz w:val="20"/>
          <w:szCs w:val="32"/>
          <w:lang w:eastAsia="it-IT"/>
        </w:rPr>
        <w:t>Un segnale molto importante, che dice che tra restare a casa per il rischio di COVID-19 ed Erasmus, gli studenti italiani sceglieranno sempre una delle esperienze più importanti della propria vita.</w:t>
      </w:r>
    </w:p>
    <w:p w:rsidR="00C87706" w:rsidRPr="00A31858" w:rsidRDefault="00C87706" w:rsidP="00C87706">
      <w:pPr>
        <w:pStyle w:val="Paragrafoelenco"/>
        <w:spacing w:after="0" w:line="240" w:lineRule="auto"/>
        <w:ind w:left="643"/>
        <w:rPr>
          <w:rFonts w:ascii="Times New Roman" w:eastAsia="Times New Roman" w:hAnsi="Times New Roman" w:cs="Times New Roman"/>
          <w:color w:val="111111"/>
          <w:szCs w:val="24"/>
          <w:u w:val="single"/>
          <w:lang w:val="fr-FR" w:eastAsia="it-IT"/>
        </w:rPr>
      </w:pPr>
      <w:r w:rsidRPr="00A31858">
        <w:rPr>
          <w:rFonts w:ascii="Times New Roman" w:eastAsia="Times New Roman" w:hAnsi="Times New Roman" w:cs="Times New Roman"/>
          <w:color w:val="111111"/>
          <w:szCs w:val="24"/>
          <w:u w:val="single"/>
          <w:lang w:val="fr-FR" w:eastAsia="it-IT"/>
        </w:rPr>
        <w:t xml:space="preserve"> </w:t>
      </w:r>
    </w:p>
    <w:p w:rsidR="00C87706" w:rsidRPr="00AA24FF" w:rsidRDefault="00C87706" w:rsidP="00C87706">
      <w:pPr>
        <w:pStyle w:val="Paragrafoelenco"/>
        <w:spacing w:after="0" w:line="240" w:lineRule="auto"/>
        <w:ind w:left="643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val="fr-FR" w:eastAsia="it-IT"/>
        </w:rPr>
      </w:pPr>
      <w:r w:rsidRPr="00AA24FF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lang w:val="fr-FR" w:eastAsia="it-IT"/>
        </w:rPr>
        <w:t xml:space="preserve">Énoncé </w:t>
      </w:r>
      <w:r w:rsidRPr="00AA24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val="fr-FR" w:eastAsia="it-IT"/>
        </w:rPr>
        <w:t>:</w:t>
      </w:r>
    </w:p>
    <w:p w:rsidR="00C87706" w:rsidRPr="00AA24FF" w:rsidRDefault="00C87706" w:rsidP="00C87706">
      <w:pPr>
        <w:ind w:left="283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C87706" w:rsidRPr="00AA24FF" w:rsidRDefault="00C87706" w:rsidP="00C8770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A24FF"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F</w:t>
      </w:r>
      <w:bookmarkStart w:id="0" w:name="_GoBack"/>
      <w:bookmarkEnd w:id="0"/>
      <w:r w:rsidRPr="00AA24F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aites un </w:t>
      </w:r>
      <w:r w:rsidRPr="00AA24FF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résumé en français</w:t>
      </w:r>
      <w:r w:rsidRPr="00AA24F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(environ 180 -200 mots).</w:t>
      </w:r>
    </w:p>
    <w:p w:rsidR="00A02139" w:rsidRDefault="00A02139"/>
    <w:sectPr w:rsidR="00A021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63171"/>
    <w:multiLevelType w:val="multilevel"/>
    <w:tmpl w:val="05DC36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06"/>
    <w:rsid w:val="00A02139"/>
    <w:rsid w:val="00C8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FA4E"/>
  <w15:chartTrackingRefBased/>
  <w15:docId w15:val="{1AD1A780-AE23-479A-9BB3-1E3CD9EA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77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7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sole24ore.com/art/nessuno-stop-l-erasmus-si-comincia-remoto-e-poi-lezioni-presenza-all-estero-ADiDZw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gittertraining.com/coronavirus-ed-erasmus-indicazioni-pratiche-per-tut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gittertraining.com/progetti/erasmus-plus/" TargetMode="External"/><Relationship Id="rId5" Type="http://schemas.openxmlformats.org/officeDocument/2006/relationships/hyperlink" Target="https://www.sagittertraining.com/coronavirus-cosa-possono-fare-gli-italiani-allester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2021-09-30T12:13:00Z</dcterms:created>
  <dcterms:modified xsi:type="dcterms:W3CDTF">2021-09-30T12:15:00Z</dcterms:modified>
</cp:coreProperties>
</file>