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41" w:rsidRPr="00710D89" w:rsidRDefault="008C5441" w:rsidP="00710D89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0"/>
          <w:szCs w:val="40"/>
          <w:lang w:eastAsia="it-IT"/>
        </w:rPr>
      </w:pPr>
      <w:r w:rsidRPr="00710D89">
        <w:rPr>
          <w:rFonts w:ascii="Century Gothic" w:eastAsia="Times New Roman" w:hAnsi="Century Gothic" w:cs="Times New Roman"/>
          <w:b/>
          <w:bCs/>
          <w:kern w:val="36"/>
          <w:sz w:val="40"/>
          <w:szCs w:val="40"/>
          <w:lang w:eastAsia="it-IT"/>
        </w:rPr>
        <w:t>La comunicazione nel mondo del lavoro</w:t>
      </w:r>
    </w:p>
    <w:p w:rsidR="008C5441" w:rsidRPr="00710D89" w:rsidRDefault="008C5441" w:rsidP="00710D89">
      <w:pPr>
        <w:spacing w:after="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</w:pPr>
      <w:r w:rsidRPr="00710D89"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  <w:t>La Comunicazione in azienda</w:t>
      </w:r>
      <w:r w:rsidRPr="00710D89"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  <w:br/>
        <w:t>Co</w:t>
      </w:r>
      <w:r w:rsidR="00710D89" w:rsidRPr="00710D89">
        <w:rPr>
          <w:rFonts w:ascii="Century Gothic" w:eastAsia="Times New Roman" w:hAnsi="Century Gothic" w:cs="Times New Roman"/>
          <w:b/>
          <w:bCs/>
          <w:sz w:val="28"/>
          <w:szCs w:val="28"/>
          <w:lang w:eastAsia="it-IT"/>
        </w:rPr>
        <w:t>me comunicare con i dipendenti…</w:t>
      </w:r>
    </w:p>
    <w:p w:rsidR="008C5441" w:rsidRPr="00710D89" w:rsidRDefault="008C5441" w:rsidP="00710D89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i/>
          <w:sz w:val="24"/>
          <w:szCs w:val="27"/>
          <w:lang w:eastAsia="it-IT"/>
        </w:rPr>
      </w:pPr>
      <w:r w:rsidRPr="00710D89">
        <w:rPr>
          <w:rFonts w:ascii="Century Gothic" w:eastAsia="Times New Roman" w:hAnsi="Century Gothic" w:cs="Times New Roman"/>
          <w:b/>
          <w:bCs/>
          <w:i/>
          <w:sz w:val="24"/>
          <w:szCs w:val="27"/>
          <w:lang w:eastAsia="it-IT"/>
        </w:rPr>
        <w:t>Reazioni tipiche barriere alla comunicazione.</w:t>
      </w:r>
      <w:r w:rsidRPr="00710D89">
        <w:rPr>
          <w:rFonts w:ascii="Century Gothic" w:eastAsia="Times New Roman" w:hAnsi="Century Gothic" w:cs="Times New Roman"/>
          <w:b/>
          <w:bCs/>
          <w:i/>
          <w:sz w:val="24"/>
          <w:szCs w:val="27"/>
          <w:lang w:eastAsia="it-IT"/>
        </w:rPr>
        <w:br/>
        <w:t>Thomas Gordon, psicologo clinico, ha elencato 12 reazioni tipiche valutate come barriere alla comunicazione, applicabili in ogni realtà:</w:t>
      </w:r>
    </w:p>
    <w:p w:rsidR="00710D89" w:rsidRPr="00710D89" w:rsidRDefault="00710D89" w:rsidP="00710D89">
      <w:pPr>
        <w:spacing w:after="0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i/>
          <w:sz w:val="24"/>
          <w:szCs w:val="27"/>
          <w:lang w:eastAsia="it-IT"/>
        </w:rPr>
      </w:pPr>
    </w:p>
    <w:p w:rsidR="00710D89" w:rsidRPr="00710D89" w:rsidRDefault="008C5441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t>1) Dirigere, dare ordini</w:t>
      </w: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br/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t>Questi messaggi comunicano al collaboratore/ collega, che i suoi sentimenti bisogni/necessità non sono importanti, ma è importante che questo si conformi alle necessità del capo/azienda senza possibilità di interazione.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Lo inducono a temere il potere perché può sentirsi minacciato dal suo lavoro.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Possono provocare sentimenti di risentimento o di rabbia che spesso lo inducono a reagire ostilmente.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Possono comunicargli che il capo non si fida delle sue capacità e del suo giudizio;</w:t>
      </w:r>
    </w:p>
    <w:p w:rsidR="00710D89" w:rsidRPr="00710D89" w:rsidRDefault="00710D89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</w:p>
    <w:p w:rsidR="00710D89" w:rsidRPr="00710D89" w:rsidRDefault="008C5441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t>2) Avvertire, minacciare, ammonire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Tali messaggi possono rendere un collaborato/collega remissivo.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Possono suscitare risentimento e ostilità come quando si danno ordini.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Possono indurlo a credere che non vengano rispettate le sue necessità all’interno dell’organizzazione.</w:t>
      </w:r>
    </w:p>
    <w:p w:rsidR="008C5441" w:rsidRPr="00710D89" w:rsidRDefault="008C5441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</w: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t>3) Esortare, moraleggiare, fare la predica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Tali messaggi fanno pesare sul collaboratore/collega il potere dell’autorità, del dovere, degli obblighi.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Passivizzano il soggetto, possono far nascere sensi di colpa o sensi di emarginazione.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Può pensare che il capo non si fidi delle sue abilità di giudicare la validità dei valori e progetti propri e altrui.</w:t>
      </w:r>
    </w:p>
    <w:p w:rsidR="00710D89" w:rsidRPr="00710D89" w:rsidRDefault="00710D89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</w:p>
    <w:p w:rsidR="00710D89" w:rsidRPr="00710D89" w:rsidRDefault="008C5441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t>4) Consigliare, offrire suggerimenti o soluzioni.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Tali messaggi sono spesso interpretati dal collaboratore/collega, come prova del fatto che non ci si fida della sua capacità di giudizio e di trovare soluzioni proprie.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Possono indurlo a diventare dipendente dal capo e a passivizzarsi.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I consigli a volte comunicano l’atteggiamento di superiorità dal capo e possono indurre nei soggetti deboli un senso di inferiorità.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Possono indurli a contrastare continuamente le idee del capo per riaffermare la propria identità.</w:t>
      </w:r>
    </w:p>
    <w:p w:rsidR="00710D89" w:rsidRPr="00710D89" w:rsidRDefault="008C5441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</w: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t>5) Insegnare, argomentare, persuadere.</w:t>
      </w: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br/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t>Quando si cerca di insegnare qualcosa, possiamo correre il rischio di far sentire l’altro inferiore, subordinato, inadeguato.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L’argomentare può indurre il collaboratore collega a mettersi sulla difensiva (credi che non lo sappia?).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E’ raro che gli adulti amino sentirsi dimostrare di aver sbagliato, la tendenza è quella di difendere accanitamente le proprie posizioni.</w:t>
      </w:r>
    </w:p>
    <w:p w:rsidR="008C5441" w:rsidRPr="00710D89" w:rsidRDefault="008C5441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</w: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t>6)Giudicare, criticare, opporsi, biasimare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Tali messaggi fanno sentire il collaboratore/collega inadeguato.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L’idea di sé, si forma anche attraverso i giudizi e le valutazioni degli altri.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Le critiche, inoltre suscitano altrettante controcritiche.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Si risponde mettendosi sulla difensiva, semplicemente per proteggere la propria immagine.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I giudizi inducono a tenere per sé i propri pensieri e a non contribuire alla soluzione dei problemi organizzativi.</w:t>
      </w:r>
    </w:p>
    <w:p w:rsidR="00710D89" w:rsidRPr="00710D89" w:rsidRDefault="008C5441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lastRenderedPageBreak/>
        <w:t>7) Elogiare, assecondare.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L’elogio deve manifestare equilibrio.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Se è eccessivo, può essere interpretato come un modo sottile per manipolare o influenzare l’altro, se è insufficiente o assente per demotivare.</w:t>
      </w:r>
    </w:p>
    <w:p w:rsidR="00710D89" w:rsidRPr="00710D89" w:rsidRDefault="008C5441" w:rsidP="00710D89">
      <w:pPr>
        <w:spacing w:after="0" w:line="240" w:lineRule="auto"/>
        <w:rPr>
          <w:rFonts w:ascii="Century Gothic" w:eastAsia="Times New Roman" w:hAnsi="Century Gothic" w:cs="Times New Roman"/>
          <w:b/>
          <w:bCs/>
          <w:szCs w:val="24"/>
          <w:lang w:eastAsia="it-IT"/>
        </w:rPr>
      </w:pP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</w: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t>8)Etichettare, ridicolizzare, umiliare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Tali messaggi possono avere un effetto devastante sull’immagine di una persona, in un contesto organizzativo può bloccare la naturale restituzione degli stessi.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Può provocare disadattamento e talvolta malattie vere e proprie.</w:t>
      </w:r>
    </w:p>
    <w:p w:rsidR="00710D89" w:rsidRPr="00710D89" w:rsidRDefault="008C5441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</w: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t>9)Interpretare, analizzare, diagnosticare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L’analisi, l’interpretazione e la diagnosi possono nascondere un atteggiamento di superiorità da parte del capo.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Tale tipo di messaggio può risultare frustrante, perché potrebbe dimostrare alcune debolezze del soggetto o se errato, provocare un senso di disagio per essere erroneamente valutato.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La diagnosi può interrompere immediatamente il desiderio di continuare a comunicare, insegnando che è preferibile astenersi dalla relazione.</w:t>
      </w:r>
    </w:p>
    <w:p w:rsidR="008C5441" w:rsidRPr="00710D89" w:rsidRDefault="008C5441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</w: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t>10)Rassicurare, simpatizzare, consolare, sostenere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Contrariamente a quanto creduto, anche questi messaggi possono avere dei risvolti negativi nella comunicazione.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In alcuni casi è preferibile che l’altro mi comunichi il suo disagio senza consolarlo o rassicurarlo.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Esempio: se ci troviamo di fronte una persona che piange è preferibile lasciarla piangere, ma non soddisfare il nostro che è quello di non provare disagio a vederlo piangere;</w:t>
      </w:r>
    </w:p>
    <w:p w:rsidR="00710D89" w:rsidRPr="00710D89" w:rsidRDefault="00710D89" w:rsidP="00710D89">
      <w:pPr>
        <w:spacing w:after="0" w:line="240" w:lineRule="auto"/>
        <w:rPr>
          <w:rFonts w:ascii="Century Gothic" w:eastAsia="Times New Roman" w:hAnsi="Century Gothic" w:cs="Times New Roman"/>
          <w:b/>
          <w:bCs/>
          <w:szCs w:val="24"/>
          <w:lang w:eastAsia="it-IT"/>
        </w:rPr>
      </w:pPr>
    </w:p>
    <w:p w:rsidR="00710D89" w:rsidRPr="00710D89" w:rsidRDefault="008C5441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t>11) Inquisire, fare domande, interrogare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t>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Eccedere nelle domande, può indurre l’altro a credere che non si ha fiducia in lui e a nutrire sospetti e dubbi, oppure può nascondere la volontà di far riconoscere eventuali errori per poi richiamarlo;</w:t>
      </w:r>
    </w:p>
    <w:p w:rsidR="008C5441" w:rsidRPr="00710D89" w:rsidRDefault="008C5441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</w: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t>12)Sottrarsi, cambiare argomento, scherzare, distrarsi.</w:t>
      </w: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br/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t>Tali messaggi comunicano che non siete interessati al vostro interlocutore o che lo rifiutate.</w:t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br/>
        <w:t>Rispondere scherzando ad una richiesta ci fa sentire respinti (tutte le persone vogliono essere ascoltate e capite con rispetto).</w:t>
      </w:r>
    </w:p>
    <w:p w:rsidR="00710D89" w:rsidRDefault="00710D89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</w:p>
    <w:p w:rsidR="00710D89" w:rsidRDefault="00710D89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</w:p>
    <w:p w:rsidR="00710D89" w:rsidRPr="00710D89" w:rsidRDefault="00710D89" w:rsidP="00710D89">
      <w:pPr>
        <w:spacing w:after="0" w:line="240" w:lineRule="auto"/>
        <w:rPr>
          <w:rFonts w:ascii="Century Gothic" w:eastAsia="Times New Roman" w:hAnsi="Century Gothic" w:cs="Times New Roman"/>
          <w:szCs w:val="24"/>
          <w:lang w:eastAsia="it-IT"/>
        </w:rPr>
      </w:pPr>
      <w:bookmarkStart w:id="0" w:name="_GoBack"/>
      <w:bookmarkEnd w:id="0"/>
    </w:p>
    <w:p w:rsidR="008C5441" w:rsidRPr="00710D89" w:rsidRDefault="008C5441" w:rsidP="00710D89">
      <w:pPr>
        <w:spacing w:after="0" w:line="240" w:lineRule="auto"/>
        <w:jc w:val="center"/>
        <w:rPr>
          <w:rFonts w:ascii="Century Gothic" w:eastAsia="Times New Roman" w:hAnsi="Century Gothic" w:cs="Times New Roman"/>
          <w:szCs w:val="24"/>
          <w:lang w:eastAsia="it-IT"/>
        </w:rPr>
      </w:pP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t>Conclusioni</w:t>
      </w:r>
      <w:r w:rsidRPr="00710D89">
        <w:rPr>
          <w:rFonts w:ascii="Century Gothic" w:eastAsia="Times New Roman" w:hAnsi="Century Gothic" w:cs="Times New Roman"/>
          <w:b/>
          <w:bCs/>
          <w:szCs w:val="24"/>
          <w:lang w:eastAsia="it-IT"/>
        </w:rPr>
        <w:br/>
      </w:r>
      <w:r w:rsidRPr="00710D89">
        <w:rPr>
          <w:rFonts w:ascii="Century Gothic" w:eastAsia="Times New Roman" w:hAnsi="Century Gothic" w:cs="Times New Roman"/>
          <w:szCs w:val="24"/>
          <w:lang w:eastAsia="it-IT"/>
        </w:rPr>
        <w:t>Quando una persona si sente di essere sinceramente accettata per quella che è, si sente libera di prendere in considerazione un possibile cambiamento e pensare come può realizzare maggiormente il proprio potenziale.</w:t>
      </w:r>
    </w:p>
    <w:p w:rsidR="00482CBF" w:rsidRPr="00710D89" w:rsidRDefault="00482CBF" w:rsidP="00710D89">
      <w:pPr>
        <w:spacing w:after="0" w:line="240" w:lineRule="auto"/>
        <w:rPr>
          <w:sz w:val="20"/>
        </w:rPr>
      </w:pPr>
    </w:p>
    <w:sectPr w:rsidR="00482CBF" w:rsidRPr="00710D89" w:rsidSect="00710D8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1"/>
    <w:rsid w:val="00482CBF"/>
    <w:rsid w:val="00710D89"/>
    <w:rsid w:val="008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4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4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La comunicazione nel mondo del lavoro</vt:lpstr>
      <vt:lpstr>    La Comunicazione in azienda Come comunicare con i dipendenti….</vt:lpstr>
      <vt:lpstr>        Reazioni tipiche barriere alla comunicazione. Thomas Gordon, psicologo clinico, </vt:lpstr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UNIUD</cp:lastModifiedBy>
  <cp:revision>3</cp:revision>
  <cp:lastPrinted>2015-11-20T08:08:00Z</cp:lastPrinted>
  <dcterms:created xsi:type="dcterms:W3CDTF">2015-11-19T08:42:00Z</dcterms:created>
  <dcterms:modified xsi:type="dcterms:W3CDTF">2015-11-20T08:09:00Z</dcterms:modified>
</cp:coreProperties>
</file>