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42" w:rsidRPr="003E5342" w:rsidRDefault="003E5342" w:rsidP="003E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E5342" w:rsidRPr="003E5342" w:rsidRDefault="003E5342" w:rsidP="003E53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48"/>
          <w:lang w:eastAsia="it-IT"/>
        </w:rPr>
      </w:pPr>
      <w:r w:rsidRPr="003E5342">
        <w:rPr>
          <w:rFonts w:ascii="Times New Roman" w:eastAsia="Times New Roman" w:hAnsi="Times New Roman" w:cs="Times New Roman"/>
          <w:b/>
          <w:bCs/>
          <w:spacing w:val="-5"/>
          <w:kern w:val="36"/>
          <w:sz w:val="48"/>
          <w:szCs w:val="48"/>
          <w:lang w:eastAsia="it-IT"/>
        </w:rPr>
        <w:t>Come il consumo e la produzione sostenibili indirizzano la transizione energetica</w:t>
      </w:r>
    </w:p>
    <w:p w:rsidR="003E5342" w:rsidRPr="003E5342" w:rsidRDefault="003E5342" w:rsidP="004829B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Sostenibilità, tutela dell’ambiente, lotta al cambiamento climatico: i consumatori sono sempre più attenti ai temi legati al futuro del Pianeta, in particolare le nuove generazioni. E questo produce un impatto su aziende e investitori.</w:t>
      </w:r>
    </w:p>
    <w:p w:rsidR="003E5342" w:rsidRPr="003E5342" w:rsidRDefault="003E5342" w:rsidP="003E5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it-IT"/>
        </w:rPr>
      </w:pPr>
      <w:r w:rsidRPr="003E534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it-IT"/>
        </w:rPr>
        <w:t>La crisi climatica come priorità</w:t>
      </w:r>
    </w:p>
    <w:p w:rsidR="003E5342" w:rsidRPr="003E5342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A far crescere la </w:t>
      </w:r>
      <w:hyperlink r:id="rId5" w:history="1">
        <w:r w:rsidRPr="003E5342">
          <w:rPr>
            <w:rFonts w:ascii="Georgia" w:eastAsia="Times New Roman" w:hAnsi="Georgia" w:cs="Times New Roman"/>
            <w:color w:val="387A5B"/>
            <w:sz w:val="24"/>
            <w:szCs w:val="24"/>
            <w:u w:val="single"/>
            <w:lang w:eastAsia="it-IT"/>
          </w:rPr>
          <w:t>consapevolezza</w:t>
        </w:r>
      </w:hyperlink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 dell’urgenza di cambiare stile di vita sono fenomeni sempre più evidenti. Dai cambiamenti climatici all’inquinamento, gli effetti prodotti dall’utilizzo dei combustibili fossili, dallo sfruttamento delle risorse e da modelli economici non più sostenibili sono sempre più evidenti.</w:t>
      </w:r>
    </w:p>
    <w:p w:rsidR="003E5342" w:rsidRPr="003E5342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Secondo un </w:t>
      </w:r>
      <w:hyperlink r:id="rId6" w:tgtFrame="_blank" w:history="1">
        <w:r w:rsidRPr="003E5342">
          <w:rPr>
            <w:rFonts w:ascii="Georgia" w:eastAsia="Times New Roman" w:hAnsi="Georgia" w:cs="Times New Roman"/>
            <w:color w:val="387A5B"/>
            <w:sz w:val="24"/>
            <w:szCs w:val="24"/>
            <w:u w:val="single"/>
            <w:lang w:eastAsia="it-IT"/>
          </w:rPr>
          <w:t>sondaggio</w:t>
        </w:r>
      </w:hyperlink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effettuato prima della pandemia dal </w:t>
      </w:r>
      <w:proofErr w:type="spellStart"/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Pew</w:t>
      </w:r>
      <w:proofErr w:type="spellEnd"/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Research Center, il riscaldamento globale è considerato la principale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minaccia per il futuro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 xml:space="preserve"> del proprio Paese per la maggior parte delle nazioni del mondo, naturalmente con differenze rilevanti da Paese a Paese. </w:t>
      </w:r>
    </w:p>
    <w:p w:rsidR="003E5342" w:rsidRPr="003E5342" w:rsidRDefault="003E5342" w:rsidP="000D4E2D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 xml:space="preserve">Al di là delle percezioni, non c’è dubbio che il cambiamento climatico abbia fin qui prodotto un impatto economico diretto molto forte: si stima che, tra il 1980 e il 2017, sia costato 450 miliardi di euro solo in Europa e abbia provocato, attraverso i suoi effetti, oltre 90 mila decessi. </w:t>
      </w:r>
    </w:p>
    <w:p w:rsidR="003E5342" w:rsidRPr="003E5342" w:rsidRDefault="003E5342" w:rsidP="003E5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it-IT"/>
        </w:rPr>
      </w:pPr>
      <w:r w:rsidRPr="003E534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it-IT"/>
        </w:rPr>
        <w:t>Le scelte della “Green Generation”</w:t>
      </w:r>
    </w:p>
    <w:p w:rsidR="003E5342" w:rsidRPr="003E5342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Anche altre preoccupazioni legate alle condizioni ambientali sono sempre più diffuse. L’aumento dell’inquinamento acustico nelle città, la contaminazione del suolo e dell’aria con sostanze tossiche e lo spreco di risorse materiali ed energetiche stanno indirizzando i cittadini verso comportamenti nuovi, sempre più attenti alla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sostenibilità 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e alla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 circolarità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. Gli esempi possono essere molti: dalla decisione di montare pannelli fotovoltaici sul tetto di casa a dispositivi intelligenti per la gestione efficiente dei consumi, dalla scelta della mobilità elettrica all’acquisto di prodotti sempre più sostenibili e green.</w:t>
      </w:r>
    </w:p>
    <w:p w:rsidR="003E5342" w:rsidRPr="003E5342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In Europa i due terzi dei giovani pongono come prioritaria la sostenibilità e la lotta al cambiamento climatico, con molta più forza rispetto alle generazioni precedenti. Una posizione che si riflette nei comportamenti di ogni giorno, come l’essere disposti a pagare un prezzo più alto per prodotti sostenibili o il preferire aziende e organizzazioni attente al futuro della Terra nelle scelte di lavoro.</w:t>
      </w:r>
      <w:r w:rsidRPr="003E534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E5342" w:rsidRPr="003E5342" w:rsidRDefault="003E5342" w:rsidP="003E53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it-IT"/>
        </w:rPr>
      </w:pPr>
      <w:r w:rsidRPr="003E5342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eastAsia="it-IT"/>
        </w:rPr>
        <w:t>Le aziende e la sostenibilità come fattore competitivo</w:t>
      </w:r>
    </w:p>
    <w:p w:rsidR="003E5342" w:rsidRPr="003E5342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L’attenzione al tema della sostenibilità in generale, e in particolare alla decarbonizzazione, rappresenta oggi per le aziende un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fattore competitivo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sempre più decisivo non solo in termini di reputazione. Anche perché essere sostenibili si traduce in una serie di benefici 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lastRenderedPageBreak/>
        <w:t xml:space="preserve">tangibili, dalla 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prevenzione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 dei danni da catastrofi naturali, alla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riduzione dei rischi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 ambientali e sociali fino alla capacità di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anticipare le decisioni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 delle autorità regolatorie. </w:t>
      </w:r>
    </w:p>
    <w:p w:rsidR="003E5342" w:rsidRPr="003E5342" w:rsidRDefault="003E5342" w:rsidP="00F0398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Non solo. Puntare sulla sostenibilità significa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investire sull’innovazione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creando prodotti e soluzioni non solo a basso impatto ambientale ma anche di migliore qualità e con meno sprechi. </w:t>
      </w:r>
    </w:p>
    <w:p w:rsidR="003E5342" w:rsidRPr="003E5342" w:rsidRDefault="003E5342" w:rsidP="003E5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5342" w:rsidRPr="003E5342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Decarbonizzazione e transizione energetica sono il frutto di scelte di governo e strategie aziendali. Ma un contributo decisivo e spesso sottovalutato allo sviluppo sostenibile arriva dall’atteggiamento delle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persone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. Sono i cittadini il vero motore della </w:t>
      </w:r>
      <w:r w:rsidRPr="003E5342">
        <w:rPr>
          <w:rFonts w:ascii="Georgia" w:eastAsia="Times New Roman" w:hAnsi="Georgia" w:cs="Times New Roman"/>
          <w:b/>
          <w:bCs/>
          <w:spacing w:val="-1"/>
          <w:sz w:val="24"/>
          <w:szCs w:val="24"/>
          <w:lang w:eastAsia="it-IT"/>
        </w:rPr>
        <w:t>sostenibilità</w:t>
      </w:r>
      <w:r w:rsidRPr="003E5342">
        <w:rPr>
          <w:rFonts w:ascii="Georgia" w:eastAsia="Times New Roman" w:hAnsi="Georgia" w:cs="Times New Roman"/>
          <w:sz w:val="24"/>
          <w:szCs w:val="24"/>
          <w:lang w:eastAsia="it-IT"/>
        </w:rPr>
        <w:t>. Con il proprio stile di vita, le proprie abitudini e scelte di consumo hanno infatti il potere di indirizzare dal basso il mercato e, più in generale, di creare un contesto sociale favorevole alle azioni per salvaguardare il nostro Pianeta.</w:t>
      </w:r>
    </w:p>
    <w:p w:rsidR="00830059" w:rsidRDefault="003E5342" w:rsidP="0083005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fr-FR" w:eastAsia="it-IT"/>
        </w:rPr>
      </w:pPr>
      <w:r w:rsidRPr="00830059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  <w:r w:rsidR="00830059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 w:rsidR="0083005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  <w:r w:rsidR="00830059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 w:rsidR="00830059">
        <w:rPr>
          <w:rStyle w:val="Collegamentoipertestuale"/>
          <w:i/>
          <w:color w:val="000000" w:themeColor="text1"/>
          <w:sz w:val="24"/>
          <w:szCs w:val="24"/>
          <w:lang w:val="fr-FR"/>
        </w:rPr>
        <w:t>Veuillez effectuer un résumé en français d’environ 1</w:t>
      </w:r>
      <w:r w:rsidR="00830059">
        <w:rPr>
          <w:rStyle w:val="Collegamentoipertestuale"/>
          <w:i/>
          <w:color w:val="000000" w:themeColor="text1"/>
          <w:sz w:val="24"/>
          <w:szCs w:val="24"/>
          <w:lang w:val="fr-FR"/>
        </w:rPr>
        <w:t>8</w:t>
      </w:r>
      <w:r w:rsidR="00830059">
        <w:rPr>
          <w:rStyle w:val="Collegamentoipertestuale"/>
          <w:i/>
          <w:color w:val="000000" w:themeColor="text1"/>
          <w:sz w:val="24"/>
          <w:szCs w:val="24"/>
          <w:lang w:val="fr-FR"/>
        </w:rPr>
        <w:t>0 -1</w:t>
      </w:r>
      <w:r w:rsidR="00830059">
        <w:rPr>
          <w:rStyle w:val="Collegamentoipertestuale"/>
          <w:i/>
          <w:color w:val="000000" w:themeColor="text1"/>
          <w:sz w:val="24"/>
          <w:szCs w:val="24"/>
          <w:lang w:val="fr-FR"/>
        </w:rPr>
        <w:t>9</w:t>
      </w:r>
      <w:bookmarkStart w:id="0" w:name="_GoBack"/>
      <w:bookmarkEnd w:id="0"/>
      <w:r w:rsidR="00830059">
        <w:rPr>
          <w:rStyle w:val="Collegamentoipertestuale"/>
          <w:i/>
          <w:color w:val="000000" w:themeColor="text1"/>
          <w:sz w:val="24"/>
          <w:szCs w:val="24"/>
          <w:lang w:val="fr-FR"/>
        </w:rPr>
        <w:t>0 mots.</w:t>
      </w:r>
    </w:p>
    <w:p w:rsidR="003E5342" w:rsidRPr="00830059" w:rsidRDefault="003E5342" w:rsidP="003E5342">
      <w:pPr>
        <w:spacing w:after="347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3B616A" w:rsidRPr="00830059" w:rsidRDefault="003B616A">
      <w:pPr>
        <w:rPr>
          <w:lang w:val="fr-FR"/>
        </w:rPr>
      </w:pPr>
    </w:p>
    <w:sectPr w:rsidR="003B616A" w:rsidRPr="00830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815"/>
    <w:multiLevelType w:val="multilevel"/>
    <w:tmpl w:val="FE0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B4D6B"/>
    <w:multiLevelType w:val="multilevel"/>
    <w:tmpl w:val="AA6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D3829"/>
    <w:multiLevelType w:val="multilevel"/>
    <w:tmpl w:val="5C70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D4224"/>
    <w:multiLevelType w:val="multilevel"/>
    <w:tmpl w:val="442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A7F6A"/>
    <w:multiLevelType w:val="multilevel"/>
    <w:tmpl w:val="D0AE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2538F"/>
    <w:multiLevelType w:val="multilevel"/>
    <w:tmpl w:val="94C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B7B04"/>
    <w:multiLevelType w:val="multilevel"/>
    <w:tmpl w:val="3E3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40571"/>
    <w:multiLevelType w:val="multilevel"/>
    <w:tmpl w:val="E8F8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42"/>
    <w:rsid w:val="000D4E2D"/>
    <w:rsid w:val="003B616A"/>
    <w:rsid w:val="003E5342"/>
    <w:rsid w:val="00400B95"/>
    <w:rsid w:val="004829B0"/>
    <w:rsid w:val="00830059"/>
    <w:rsid w:val="0098362A"/>
    <w:rsid w:val="00AA2900"/>
    <w:rsid w:val="00F0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E697"/>
  <w15:chartTrackingRefBased/>
  <w15:docId w15:val="{808D30DB-EE6B-46F7-9119-07BC9A3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5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5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29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9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53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53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5342"/>
    <w:rPr>
      <w:color w:val="0000FF"/>
      <w:u w:val="single"/>
    </w:rPr>
  </w:style>
  <w:style w:type="paragraph" w:customStyle="1" w:styleId="menu-item">
    <w:name w:val="menu-item"/>
    <w:basedOn w:val="Normale"/>
    <w:rsid w:val="003E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r-only">
    <w:name w:val="sr-only"/>
    <w:basedOn w:val="Carpredefinitoparagrafo"/>
    <w:rsid w:val="003E5342"/>
  </w:style>
  <w:style w:type="paragraph" w:customStyle="1" w:styleId="item">
    <w:name w:val="item"/>
    <w:basedOn w:val="Normale"/>
    <w:rsid w:val="003E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E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eorgia">
    <w:name w:val="georgia"/>
    <w:basedOn w:val="Carpredefinitoparagrafo"/>
    <w:rsid w:val="003E5342"/>
  </w:style>
  <w:style w:type="character" w:styleId="Enfasigrassetto">
    <w:name w:val="Strong"/>
    <w:basedOn w:val="Carpredefinitoparagrafo"/>
    <w:uiPriority w:val="22"/>
    <w:qFormat/>
    <w:rsid w:val="003E534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29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9B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84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8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2CDDD"/>
                                            <w:left w:val="single" w:sz="6" w:space="0" w:color="C2CDDD"/>
                                            <w:bottom w:val="single" w:sz="6" w:space="0" w:color="C2CDDD"/>
                                            <w:right w:val="single" w:sz="6" w:space="0" w:color="C2C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DDD"/>
                                <w:left w:val="single" w:sz="6" w:space="0" w:color="C2CDDD"/>
                                <w:bottom w:val="single" w:sz="6" w:space="0" w:color="C2CDDD"/>
                                <w:right w:val="single" w:sz="6" w:space="0" w:color="C2C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478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731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70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03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20156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541">
          <w:marLeft w:val="0"/>
          <w:marRight w:val="0"/>
          <w:marTop w:val="30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39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3016">
          <w:marLeft w:val="0"/>
          <w:marRight w:val="0"/>
          <w:marTop w:val="900"/>
          <w:marBottom w:val="0"/>
          <w:divBdr>
            <w:top w:val="single" w:sz="2" w:space="16" w:color="auto"/>
            <w:left w:val="single" w:sz="2" w:space="15" w:color="auto"/>
            <w:bottom w:val="single" w:sz="2" w:space="16" w:color="auto"/>
            <w:right w:val="single" w:sz="2" w:space="15" w:color="auto"/>
          </w:divBdr>
        </w:div>
      </w:divsChild>
    </w:div>
    <w:div w:id="1134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58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  <w:divsChild>
                <w:div w:id="7576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3889">
          <w:marLeft w:val="0"/>
          <w:marRight w:val="0"/>
          <w:marTop w:val="30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95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7062">
          <w:marLeft w:val="0"/>
          <w:marRight w:val="0"/>
          <w:marTop w:val="900"/>
          <w:marBottom w:val="0"/>
          <w:divBdr>
            <w:top w:val="single" w:sz="2" w:space="16" w:color="auto"/>
            <w:left w:val="single" w:sz="2" w:space="15" w:color="auto"/>
            <w:bottom w:val="single" w:sz="2" w:space="16" w:color="auto"/>
            <w:right w:val="single" w:sz="2" w:space="15" w:color="auto"/>
          </w:divBdr>
        </w:div>
      </w:divsChild>
    </w:div>
    <w:div w:id="1644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40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27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2CDDD"/>
                                            <w:left w:val="single" w:sz="6" w:space="0" w:color="C2CDDD"/>
                                            <w:bottom w:val="single" w:sz="6" w:space="0" w:color="C2CDDD"/>
                                            <w:right w:val="single" w:sz="6" w:space="0" w:color="C2C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DDD"/>
                                <w:left w:val="single" w:sz="6" w:space="0" w:color="C2CDDD"/>
                                <w:bottom w:val="single" w:sz="6" w:space="0" w:color="C2CDDD"/>
                                <w:right w:val="single" w:sz="6" w:space="0" w:color="C2C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14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12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wresearch.org/global/2019/02/10/climate-change-still-seen-as-the-top-global-threat-but-cyberattacks-a-rising-concern/" TargetMode="External"/><Relationship Id="rId5" Type="http://schemas.openxmlformats.org/officeDocument/2006/relationships/hyperlink" Target="https://www.enelgreenpower.com/it/storie/articles/2019/04/scelte-consumatore-verso-aziende-consumi-sostenibi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9</cp:revision>
  <dcterms:created xsi:type="dcterms:W3CDTF">2023-05-08T08:19:00Z</dcterms:created>
  <dcterms:modified xsi:type="dcterms:W3CDTF">2024-01-11T09:41:00Z</dcterms:modified>
</cp:coreProperties>
</file>